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jpeg" ContentType="image/jpeg"/>
  <Default Extension="JPG" ContentType="image/.jp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style1.xml" ContentType="application/vnd.ms-office.chartstyle+xml"/>
  <Override PartName="/word/charts/style2.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tabs>
          <w:tab w:val="center" w:pos="4536"/>
          <w:tab w:val="right" w:pos="9639"/>
        </w:tabs>
        <w:spacing w:before="120" w:after="120"/>
        <w:ind w:right="2"/>
        <w:rPr>
          <w:b/>
          <w:bCs/>
          <w:sz w:val="22"/>
          <w:szCs w:val="22"/>
        </w:rPr>
      </w:pPr>
      <w:r>
        <w:rPr>
          <w:b/>
          <w:bCs/>
          <w:sz w:val="22"/>
          <w:szCs w:val="22"/>
          <w:lang w:eastAsia="ja-JP"/>
        </w:rPr>
        <w:t>3GPP TSG RAN WG1 meeting #11</w:t>
      </w:r>
      <w:r>
        <w:rPr>
          <w:rFonts w:hint="eastAsia"/>
          <w:b/>
          <w:bCs/>
          <w:sz w:val="22"/>
          <w:szCs w:val="22"/>
        </w:rPr>
        <w:t>3</w:t>
      </w:r>
      <w:r>
        <w:rPr>
          <w:b/>
          <w:bCs/>
          <w:sz w:val="22"/>
          <w:szCs w:val="22"/>
          <w:lang w:eastAsia="ja-JP"/>
        </w:rPr>
        <w:tab/>
      </w:r>
      <w:r>
        <w:rPr>
          <w:b/>
          <w:bCs/>
          <w:sz w:val="22"/>
          <w:szCs w:val="22"/>
          <w:lang w:eastAsia="ja-JP"/>
        </w:rPr>
        <w:tab/>
      </w:r>
      <w:r>
        <w:rPr>
          <w:b/>
          <w:bCs/>
          <w:sz w:val="22"/>
          <w:szCs w:val="22"/>
          <w:lang w:eastAsia="ja-JP"/>
        </w:rPr>
        <w:t xml:space="preserve">                                R1-230</w:t>
      </w:r>
      <w:r>
        <w:rPr>
          <w:rFonts w:hint="eastAsia"/>
          <w:b/>
          <w:bCs/>
          <w:sz w:val="22"/>
          <w:szCs w:val="22"/>
        </w:rPr>
        <w:t>4527</w:t>
      </w:r>
    </w:p>
    <w:p>
      <w:pPr>
        <w:tabs>
          <w:tab w:val="center" w:pos="4536"/>
          <w:tab w:val="right" w:pos="9639"/>
        </w:tabs>
        <w:spacing w:before="120" w:after="120"/>
        <w:ind w:right="2"/>
        <w:rPr>
          <w:b/>
          <w:bCs/>
          <w:sz w:val="22"/>
          <w:szCs w:val="22"/>
          <w:lang w:eastAsia="ja-JP"/>
        </w:rPr>
      </w:pPr>
      <w:r>
        <w:rPr>
          <w:b/>
          <w:bCs/>
          <w:sz w:val="22"/>
          <w:szCs w:val="22"/>
          <w:lang w:eastAsia="ja-JP"/>
        </w:rPr>
        <w:t>Incheon, Korea, May 22</w:t>
      </w:r>
      <w:r>
        <w:rPr>
          <w:b/>
          <w:bCs/>
          <w:sz w:val="22"/>
          <w:szCs w:val="22"/>
          <w:vertAlign w:val="superscript"/>
          <w:lang w:eastAsia="ja-JP"/>
        </w:rPr>
        <w:t>nd</w:t>
      </w:r>
      <w:r>
        <w:rPr>
          <w:b/>
          <w:bCs/>
          <w:sz w:val="22"/>
          <w:szCs w:val="22"/>
          <w:lang w:eastAsia="ja-JP"/>
        </w:rPr>
        <w:t xml:space="preserve"> – May 26</w:t>
      </w:r>
      <w:r>
        <w:rPr>
          <w:b/>
          <w:bCs/>
          <w:sz w:val="22"/>
          <w:szCs w:val="22"/>
          <w:vertAlign w:val="superscript"/>
          <w:lang w:eastAsia="ja-JP"/>
        </w:rPr>
        <w:t>th</w:t>
      </w:r>
      <w:r>
        <w:rPr>
          <w:b/>
          <w:bCs/>
          <w:sz w:val="22"/>
          <w:szCs w:val="22"/>
          <w:lang w:eastAsia="ja-JP"/>
        </w:rPr>
        <w:t>, 2023</w:t>
      </w:r>
    </w:p>
    <w:p>
      <w:pPr>
        <w:tabs>
          <w:tab w:val="left" w:pos="1985"/>
        </w:tabs>
        <w:spacing w:before="240" w:beforeLines="100" w:after="120"/>
        <w:ind w:left="1987" w:hanging="1987"/>
        <w:rPr>
          <w:b/>
          <w:sz w:val="22"/>
          <w:szCs w:val="22"/>
        </w:rPr>
      </w:pPr>
      <w:r>
        <w:rPr>
          <w:b/>
          <w:sz w:val="22"/>
          <w:szCs w:val="22"/>
        </w:rPr>
        <w:t xml:space="preserve">Title: </w:t>
      </w:r>
      <w:r>
        <w:rPr>
          <w:b/>
          <w:sz w:val="22"/>
          <w:szCs w:val="22"/>
        </w:rPr>
        <w:tab/>
      </w:r>
      <w:r>
        <w:rPr>
          <w:b/>
          <w:sz w:val="22"/>
          <w:szCs w:val="22"/>
        </w:rPr>
        <w:t>Discussion on NES techniques in spatial and power domains</w:t>
      </w:r>
    </w:p>
    <w:p>
      <w:pPr>
        <w:tabs>
          <w:tab w:val="left" w:pos="1985"/>
        </w:tabs>
        <w:spacing w:before="120" w:after="120"/>
        <w:ind w:left="1980" w:hanging="1980"/>
        <w:rPr>
          <w:b/>
          <w:sz w:val="22"/>
          <w:szCs w:val="22"/>
        </w:rPr>
      </w:pPr>
      <w:r>
        <w:rPr>
          <w:b/>
          <w:sz w:val="22"/>
          <w:szCs w:val="22"/>
        </w:rPr>
        <w:t xml:space="preserve">Source: </w:t>
      </w:r>
      <w:r>
        <w:rPr>
          <w:b/>
          <w:sz w:val="22"/>
          <w:szCs w:val="22"/>
        </w:rPr>
        <w:tab/>
      </w:r>
      <w:r>
        <w:rPr>
          <w:b/>
          <w:sz w:val="22"/>
          <w:szCs w:val="22"/>
        </w:rPr>
        <w:t>ZTE, Sanechips</w:t>
      </w:r>
    </w:p>
    <w:p>
      <w:pPr>
        <w:tabs>
          <w:tab w:val="left" w:pos="1985"/>
        </w:tabs>
        <w:spacing w:before="120" w:after="120"/>
        <w:rPr>
          <w:b/>
          <w:sz w:val="20"/>
          <w:szCs w:val="22"/>
        </w:rPr>
      </w:pPr>
      <w:r>
        <w:rPr>
          <w:b/>
          <w:sz w:val="22"/>
          <w:szCs w:val="22"/>
          <w:lang w:val="pt-BR"/>
        </w:rPr>
        <w:t>Agenda item:</w:t>
      </w:r>
      <w:r>
        <w:rPr>
          <w:b/>
          <w:sz w:val="22"/>
          <w:szCs w:val="22"/>
          <w:lang w:val="pt-BR"/>
        </w:rPr>
        <w:tab/>
      </w:r>
      <w:r>
        <w:rPr>
          <w:b/>
          <w:sz w:val="22"/>
          <w:szCs w:val="22"/>
        </w:rPr>
        <w:t>9.7.1</w:t>
      </w:r>
    </w:p>
    <w:p>
      <w:pPr>
        <w:pStyle w:val="12"/>
        <w:widowControl w:val="0"/>
        <w:pBdr>
          <w:bottom w:val="none" w:color="auto" w:sz="0" w:space="0"/>
        </w:pBdr>
        <w:tabs>
          <w:tab w:val="left" w:pos="1906"/>
          <w:tab w:val="clear" w:pos="4153"/>
          <w:tab w:val="clear" w:pos="8306"/>
        </w:tabs>
        <w:snapToGrid/>
        <w:spacing w:before="120" w:after="120" w:line="260" w:lineRule="auto"/>
        <w:jc w:val="both"/>
        <w:rPr>
          <w:b/>
          <w:sz w:val="22"/>
          <w:szCs w:val="22"/>
          <w:lang w:val="pt-BR"/>
        </w:rPr>
      </w:pPr>
      <w:r>
        <w:rPr>
          <w:b/>
          <w:sz w:val="22"/>
          <w:szCs w:val="22"/>
          <w:lang w:val="pt-BR"/>
        </w:rPr>
        <w:t>Document for:</w:t>
      </w:r>
      <w:r>
        <w:rPr>
          <w:b/>
          <w:sz w:val="22"/>
          <w:szCs w:val="22"/>
          <w:lang w:val="pt-BR"/>
        </w:rPr>
        <w:tab/>
      </w:r>
      <w:r>
        <w:rPr>
          <w:b/>
          <w:sz w:val="22"/>
          <w:szCs w:val="22"/>
        </w:rPr>
        <w:t>Discussion and decision</w:t>
      </w:r>
    </w:p>
    <w:p>
      <w:pPr>
        <w:pStyle w:val="2"/>
        <w:numPr>
          <w:ilvl w:val="0"/>
          <w:numId w:val="10"/>
        </w:numPr>
        <w:spacing w:before="120" w:after="120"/>
        <w:rPr>
          <w:rFonts w:ascii="Times New Roman" w:hAnsi="Times New Roman" w:eastAsia="宋体"/>
          <w:b/>
          <w:bCs/>
          <w:sz w:val="28"/>
          <w:szCs w:val="28"/>
        </w:rPr>
      </w:pPr>
      <w:bookmarkStart w:id="0" w:name="_Ref27419"/>
      <w:r>
        <w:rPr>
          <w:rFonts w:ascii="Times New Roman" w:hAnsi="Times New Roman" w:eastAsia="宋体"/>
          <w:b/>
          <w:bCs/>
          <w:sz w:val="28"/>
          <w:szCs w:val="28"/>
        </w:rPr>
        <w:t>Introduction</w:t>
      </w:r>
      <w:bookmarkEnd w:id="0"/>
    </w:p>
    <w:p>
      <w:pPr>
        <w:spacing w:before="120" w:after="120"/>
      </w:pPr>
      <w:r>
        <w:t>In RAN</w:t>
      </w:r>
      <w:r>
        <w:rPr>
          <w:rFonts w:hint="eastAsia"/>
        </w:rPr>
        <w:t>1</w:t>
      </w:r>
      <w:r>
        <w:t>#</w:t>
      </w:r>
      <w:r>
        <w:rPr>
          <w:rFonts w:hint="eastAsia"/>
        </w:rPr>
        <w:t>112bis</w:t>
      </w:r>
      <w:r>
        <w:t xml:space="preserve"> meeting, </w:t>
      </w:r>
      <w:r>
        <w:rPr>
          <w:rFonts w:hint="eastAsia"/>
        </w:rPr>
        <w:t>some agreements</w:t>
      </w:r>
      <w:r>
        <w:rPr>
          <w:bCs/>
        </w:rPr>
        <w:t xml:space="preserve"> </w:t>
      </w:r>
      <w:r>
        <w:rPr>
          <w:rFonts w:hint="eastAsia"/>
          <w:bCs/>
        </w:rPr>
        <w:t>about</w:t>
      </w:r>
      <w:r>
        <w:rPr>
          <w:bCs/>
        </w:rPr>
        <w:t xml:space="preserve"> network energy saving in spatial and power domain </w:t>
      </w:r>
      <w:r>
        <w:rPr>
          <w:lang w:bidi="ar"/>
        </w:rPr>
        <w:t>w</w:t>
      </w:r>
      <w:r>
        <w:rPr>
          <w:rFonts w:hint="eastAsia"/>
          <w:lang w:bidi="ar"/>
        </w:rPr>
        <w:t>ere</w:t>
      </w:r>
      <w:r>
        <w:rPr>
          <w:lang w:bidi="ar"/>
        </w:rPr>
        <w:t xml:space="preserve"> </w:t>
      </w:r>
      <w:r>
        <w:rPr>
          <w:rFonts w:hint="eastAsia"/>
          <w:lang w:bidi="ar"/>
        </w:rPr>
        <w:t>achieve</w:t>
      </w:r>
      <w:r>
        <w:rPr>
          <w:lang w:bidi="ar"/>
        </w:rPr>
        <w:t>d</w:t>
      </w:r>
      <w:r>
        <w:rPr>
          <w:bCs/>
        </w:rPr>
        <w:t xml:space="preserve"> as below [1]:</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spacing w:before="120" w:after="120"/>
              <w:rPr>
                <w:szCs w:val="21"/>
                <w:highlight w:val="green"/>
              </w:rPr>
            </w:pPr>
            <w:r>
              <w:rPr>
                <w:szCs w:val="21"/>
                <w:highlight w:val="green"/>
              </w:rPr>
              <w:t>Agreement</w:t>
            </w:r>
          </w:p>
          <w:p>
            <w:pPr>
              <w:spacing w:before="120" w:after="120"/>
              <w:rPr>
                <w:szCs w:val="21"/>
              </w:rPr>
            </w:pPr>
            <w:r>
              <w:rPr>
                <w:szCs w:val="21"/>
              </w:rPr>
              <w:t>Define necessary enhancements to support both types of spatial adaptation cases (as defined in RAN1#112) in Rel-18.</w:t>
            </w:r>
          </w:p>
          <w:p>
            <w:pPr>
              <w:pStyle w:val="37"/>
              <w:numPr>
                <w:ilvl w:val="0"/>
                <w:numId w:val="11"/>
              </w:numPr>
              <w:spacing w:after="120"/>
              <w:rPr>
                <w:sz w:val="21"/>
                <w:szCs w:val="21"/>
              </w:rPr>
            </w:pPr>
            <w:r>
              <w:rPr>
                <w:sz w:val="21"/>
                <w:szCs w:val="21"/>
              </w:rPr>
              <w:t>Note: This does not imply explicit definition in specifications for adaptation types.</w:t>
            </w:r>
          </w:p>
          <w:p>
            <w:pPr>
              <w:pStyle w:val="37"/>
              <w:numPr>
                <w:ilvl w:val="0"/>
                <w:numId w:val="11"/>
              </w:numPr>
              <w:spacing w:after="120"/>
              <w:rPr>
                <w:sz w:val="21"/>
                <w:szCs w:val="21"/>
              </w:rPr>
            </w:pPr>
            <w:r>
              <w:rPr>
                <w:sz w:val="21"/>
                <w:szCs w:val="21"/>
              </w:rPr>
              <w:t>Note: This does not imply explicit specification changes are made for both cases</w:t>
            </w:r>
          </w:p>
          <w:p>
            <w:pPr>
              <w:spacing w:before="120" w:after="120"/>
              <w:rPr>
                <w:highlight w:val="green"/>
              </w:rPr>
            </w:pPr>
            <w:r>
              <w:rPr>
                <w:highlight w:val="green"/>
              </w:rPr>
              <w:t>Agreement</w:t>
            </w:r>
            <w:r>
              <w:t xml:space="preserve"> (modified as shown in April 19th GTW session)</w:t>
            </w:r>
          </w:p>
          <w:p>
            <w:pPr>
              <w:spacing w:before="120" w:after="120"/>
            </w:pPr>
            <w:r>
              <w:t>Support configurability of NZP CSI-RS resource(s) for channel measurement within one resource setting corresponding to more than one spatial adaptation patterns with at least one of the following</w:t>
            </w:r>
          </w:p>
          <w:p>
            <w:pPr>
              <w:numPr>
                <w:ilvl w:val="0"/>
                <w:numId w:val="12"/>
              </w:numPr>
              <w:spacing w:before="120" w:after="120"/>
            </w:pPr>
            <w:r>
              <w:t>A1-1-revised: A resource set with multiple resources is configured within a resource setting, where each resource is associated with only one spatial adaptation pattern</w:t>
            </w:r>
          </w:p>
          <w:p>
            <w:pPr>
              <w:numPr>
                <w:ilvl w:val="0"/>
                <w:numId w:val="12"/>
              </w:numPr>
              <w:spacing w:before="120" w:after="120"/>
            </w:pPr>
            <w:r>
              <w:t>A1-2-revised: For a resource configured in a resource set within a resource setting, the resource can be associated with more than one spatial adaptation patterns</w:t>
            </w:r>
          </w:p>
          <w:p>
            <w:pPr>
              <w:numPr>
                <w:ilvl w:val="1"/>
                <w:numId w:val="12"/>
              </w:numPr>
              <w:spacing w:before="120" w:after="120"/>
            </w:pPr>
            <w:r>
              <w:t>One or more resources can be configured in the resource set for channel measurement.</w:t>
            </w:r>
          </w:p>
          <w:p>
            <w:pPr>
              <w:numPr>
                <w:ilvl w:val="1"/>
                <w:numId w:val="12"/>
              </w:numPr>
              <w:spacing w:before="120" w:after="120"/>
              <w:rPr>
                <w:szCs w:val="21"/>
              </w:rPr>
            </w:pPr>
            <w:r>
              <w:rPr>
                <w:strike/>
              </w:rPr>
              <w:t>FFS: Whether one or more than one resource can be configured in the resource set</w:t>
            </w:r>
          </w:p>
          <w:p>
            <w:pPr>
              <w:spacing w:before="120" w:after="120"/>
              <w:rPr>
                <w:highlight w:val="green"/>
              </w:rPr>
            </w:pPr>
            <w:r>
              <w:rPr>
                <w:highlight w:val="green"/>
              </w:rPr>
              <w:t>Agreement</w:t>
            </w:r>
          </w:p>
          <w:p>
            <w:pPr>
              <w:spacing w:before="120" w:after="120"/>
            </w:pPr>
            <w:r>
              <w:t>For CSI report configuration, if L&gt;1 in a CSI report configuration, at least the following can be included for each sub-configuration for Type 1 SD adaptation</w:t>
            </w:r>
          </w:p>
          <w:p>
            <w:pPr>
              <w:numPr>
                <w:ilvl w:val="0"/>
                <w:numId w:val="13"/>
              </w:numPr>
              <w:spacing w:before="120" w:after="120"/>
              <w:contextualSpacing/>
              <w:rPr>
                <w:rFonts w:eastAsia="MS Mincho"/>
                <w:lang w:eastAsia="ja-JP"/>
              </w:rPr>
            </w:pPr>
            <w:r>
              <w:rPr>
                <w:rFonts w:eastAsia="MS Mincho"/>
                <w:lang w:eastAsia="ja-JP"/>
              </w:rPr>
              <w:t>N1, N2 for single-panel and N1, N2, Ng for multi-panel</w:t>
            </w:r>
          </w:p>
          <w:p>
            <w:pPr>
              <w:numPr>
                <w:ilvl w:val="1"/>
                <w:numId w:val="13"/>
              </w:numPr>
              <w:spacing w:before="120" w:after="120"/>
              <w:contextualSpacing/>
            </w:pPr>
            <w:r>
              <w:t>FFS: details on explicit indication or implicit derivation</w:t>
            </w:r>
          </w:p>
          <w:p>
            <w:pPr>
              <w:numPr>
                <w:ilvl w:val="0"/>
                <w:numId w:val="13"/>
              </w:numPr>
              <w:spacing w:before="120" w:after="120"/>
              <w:contextualSpacing/>
              <w:rPr>
                <w:rFonts w:eastAsia="MS Mincho"/>
                <w:lang w:eastAsia="ja-JP"/>
              </w:rPr>
            </w:pPr>
            <w:r>
              <w:rPr>
                <w:rFonts w:eastAsia="MS Mincho"/>
                <w:lang w:eastAsia="ja-JP"/>
              </w:rPr>
              <w:t>Port subset indication when A1-2 is used (if A1-2 is supported)</w:t>
            </w:r>
          </w:p>
          <w:p>
            <w:pPr>
              <w:numPr>
                <w:ilvl w:val="1"/>
                <w:numId w:val="13"/>
              </w:numPr>
              <w:spacing w:before="120" w:after="120"/>
              <w:contextualSpacing/>
              <w:rPr>
                <w:rFonts w:eastAsia="MS Mincho"/>
                <w:lang w:eastAsia="ja-JP"/>
              </w:rPr>
            </w:pPr>
            <w:r>
              <w:t xml:space="preserve">FFS: </w:t>
            </w:r>
            <w:r>
              <w:rPr>
                <w:rFonts w:eastAsia="MS Mincho"/>
                <w:lang w:eastAsia="ja-JP"/>
              </w:rPr>
              <w:t>details on explicit indication or implicit derivation</w:t>
            </w:r>
          </w:p>
          <w:p>
            <w:pPr>
              <w:numPr>
                <w:ilvl w:val="0"/>
                <w:numId w:val="13"/>
              </w:numPr>
              <w:spacing w:before="120" w:after="120"/>
              <w:contextualSpacing/>
              <w:rPr>
                <w:rFonts w:eastAsia="MS Mincho"/>
                <w:lang w:eastAsia="ja-JP"/>
              </w:rPr>
            </w:pPr>
            <w:r>
              <w:rPr>
                <w:rFonts w:eastAsia="MS Mincho"/>
                <w:lang w:eastAsia="ja-JP"/>
              </w:rPr>
              <w:t>FFS: rank restriction</w:t>
            </w:r>
          </w:p>
          <w:p>
            <w:pPr>
              <w:numPr>
                <w:ilvl w:val="0"/>
                <w:numId w:val="13"/>
              </w:numPr>
              <w:spacing w:before="120" w:after="120"/>
              <w:contextualSpacing/>
              <w:rPr>
                <w:rFonts w:eastAsia="MS Mincho"/>
                <w:lang w:eastAsia="ja-JP"/>
              </w:rPr>
            </w:pPr>
            <w:r>
              <w:rPr>
                <w:rFonts w:eastAsia="MS Mincho"/>
                <w:lang w:eastAsia="ja-JP"/>
              </w:rPr>
              <w:t>FFS: codebook subset restriction</w:t>
            </w:r>
          </w:p>
          <w:p>
            <w:pPr>
              <w:numPr>
                <w:ilvl w:val="0"/>
                <w:numId w:val="13"/>
              </w:numPr>
              <w:spacing w:before="120" w:after="120"/>
              <w:contextualSpacing/>
              <w:rPr>
                <w:rFonts w:eastAsia="MS Mincho"/>
                <w:lang w:eastAsia="ja-JP"/>
              </w:rPr>
            </w:pPr>
            <w:r>
              <w:rPr>
                <w:rFonts w:eastAsia="MS Mincho"/>
                <w:lang w:eastAsia="ja-JP"/>
              </w:rPr>
              <w:t>FFS: supported codebook types for PMI, e.g., Type-I or Type-II</w:t>
            </w:r>
          </w:p>
          <w:p>
            <w:pPr>
              <w:numPr>
                <w:ilvl w:val="0"/>
                <w:numId w:val="13"/>
              </w:numPr>
              <w:spacing w:before="120" w:after="120"/>
              <w:contextualSpacing/>
              <w:rPr>
                <w:rFonts w:eastAsia="MS Mincho"/>
                <w:lang w:eastAsia="ja-JP"/>
              </w:rPr>
            </w:pPr>
            <w:r>
              <w:rPr>
                <w:rFonts w:eastAsia="MS Mincho"/>
                <w:lang w:eastAsia="ja-JP"/>
              </w:rPr>
              <w:t>FFS: report quantity</w:t>
            </w:r>
          </w:p>
          <w:p>
            <w:pPr>
              <w:numPr>
                <w:ilvl w:val="0"/>
                <w:numId w:val="13"/>
              </w:numPr>
              <w:spacing w:before="120" w:after="120"/>
              <w:contextualSpacing/>
              <w:rPr>
                <w:rFonts w:eastAsia="MS Mincho"/>
                <w:lang w:eastAsia="ja-JP"/>
              </w:rPr>
            </w:pPr>
            <w:r>
              <w:t>FFS: reportFreqConfiguration</w:t>
            </w:r>
          </w:p>
          <w:p>
            <w:pPr>
              <w:numPr>
                <w:ilvl w:val="0"/>
                <w:numId w:val="13"/>
              </w:numPr>
              <w:spacing w:before="120" w:after="120"/>
              <w:contextualSpacing/>
              <w:rPr>
                <w:rFonts w:eastAsia="MS Mincho"/>
                <w:lang w:eastAsia="ja-JP"/>
              </w:rPr>
            </w:pPr>
            <w:r>
              <w:rPr>
                <w:rFonts w:eastAsia="MS Mincho"/>
                <w:lang w:eastAsia="ja-JP"/>
              </w:rPr>
              <w:t>FFS: Group identity of NZP CSI-RS resource(s) in a resource set for channel measurement when A1-1 is used</w:t>
            </w:r>
          </w:p>
          <w:p>
            <w:pPr>
              <w:spacing w:before="120" w:after="120"/>
              <w:rPr>
                <w:rFonts w:eastAsia="MS Mincho"/>
                <w:lang w:eastAsia="ja-JP"/>
              </w:rPr>
            </w:pPr>
            <w:r>
              <w:t xml:space="preserve">For CSI report configuration for </w:t>
            </w:r>
            <w:r>
              <w:rPr>
                <w:rFonts w:eastAsia="MS Mincho"/>
                <w:lang w:eastAsia="ja-JP"/>
              </w:rPr>
              <w:t>type 2 SD adaptation</w:t>
            </w:r>
            <w:r>
              <w:t xml:space="preserve">, </w:t>
            </w:r>
            <w:r>
              <w:rPr>
                <w:rFonts w:eastAsia="MS Mincho"/>
                <w:lang w:eastAsia="ja-JP"/>
              </w:rPr>
              <w:t>further study under which cases sub-configurations may or may not be needed including sub-configuration content.</w:t>
            </w:r>
          </w:p>
          <w:p>
            <w:pPr>
              <w:pStyle w:val="37"/>
              <w:tabs>
                <w:tab w:val="left" w:pos="0"/>
              </w:tabs>
              <w:suppressAutoHyphens/>
              <w:spacing w:before="0" w:afterLines="0" w:line="288" w:lineRule="auto"/>
              <w:ind w:left="0"/>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spacing w:before="120" w:after="120"/>
              <w:rPr>
                <w:bCs/>
                <w:szCs w:val="21"/>
                <w:highlight w:val="green"/>
              </w:rPr>
            </w:pPr>
            <w:r>
              <w:rPr>
                <w:bCs/>
                <w:szCs w:val="21"/>
                <w:highlight w:val="green"/>
              </w:rPr>
              <w:t xml:space="preserve">Agreement </w:t>
            </w:r>
          </w:p>
          <w:p>
            <w:pPr>
              <w:spacing w:before="120" w:after="120"/>
              <w:rPr>
                <w:bCs/>
                <w:szCs w:val="21"/>
              </w:rPr>
            </w:pPr>
            <w:r>
              <w:rPr>
                <w:bCs/>
                <w:szCs w:val="21"/>
              </w:rPr>
              <w:t>At least support A2-2, i.e. one CSI report configuration contains multiple CSI report sub-configurations where each sub-configuration corresponds to one spatial adaptation pattern.</w:t>
            </w:r>
          </w:p>
          <w:p>
            <w:pPr>
              <w:numPr>
                <w:ilvl w:val="0"/>
                <w:numId w:val="14"/>
              </w:numPr>
              <w:spacing w:before="120" w:after="120"/>
              <w:rPr>
                <w:bCs/>
                <w:szCs w:val="21"/>
              </w:rPr>
            </w:pPr>
            <w:r>
              <w:rPr>
                <w:bCs/>
                <w:szCs w:val="21"/>
              </w:rPr>
              <w:t>FFS: impact on CSI processing requirement</w:t>
            </w:r>
          </w:p>
          <w:p>
            <w:pPr>
              <w:spacing w:before="120" w:after="120"/>
              <w:rPr>
                <w:bCs/>
                <w:szCs w:val="21"/>
              </w:rPr>
            </w:pPr>
          </w:p>
          <w:p>
            <w:pPr>
              <w:spacing w:before="120" w:after="120"/>
              <w:rPr>
                <w:bCs/>
                <w:szCs w:val="21"/>
              </w:rPr>
            </w:pPr>
            <w:r>
              <w:rPr>
                <w:bCs/>
                <w:szCs w:val="21"/>
                <w:highlight w:val="green"/>
              </w:rPr>
              <w:t>Agreement</w:t>
            </w:r>
            <w:r>
              <w:rPr>
                <w:bCs/>
                <w:szCs w:val="21"/>
              </w:rPr>
              <w:t xml:space="preserve"> </w:t>
            </w:r>
          </w:p>
          <w:p>
            <w:pPr>
              <w:spacing w:before="120" w:after="120"/>
              <w:rPr>
                <w:bCs/>
                <w:szCs w:val="21"/>
              </w:rPr>
            </w:pPr>
            <w:r>
              <w:rPr>
                <w:bCs/>
                <w:szCs w:val="21"/>
              </w:rPr>
              <w:t xml:space="preserve">For a CSI report config with </w:t>
            </w:r>
            <w:r>
              <w:rPr>
                <w:bCs/>
                <w:i/>
                <w:szCs w:val="21"/>
              </w:rPr>
              <w:t>L</w:t>
            </w:r>
            <w:r>
              <w:rPr>
                <w:bCs/>
                <w:szCs w:val="21"/>
              </w:rPr>
              <w:t xml:space="preserve"> sub-configuration(s), support a framework that enables a UE to report </w:t>
            </w:r>
            <w:r>
              <w:rPr>
                <w:bCs/>
                <w:i/>
                <w:szCs w:val="21"/>
              </w:rPr>
              <w:t>N</w:t>
            </w:r>
            <w:r>
              <w:rPr>
                <w:bCs/>
                <w:szCs w:val="21"/>
              </w:rPr>
              <w:t xml:space="preserve"> CSI(s) in one reporting instance where the </w:t>
            </w:r>
            <w:r>
              <w:rPr>
                <w:bCs/>
                <w:i/>
                <w:szCs w:val="21"/>
              </w:rPr>
              <w:t>N</w:t>
            </w:r>
            <w:r>
              <w:rPr>
                <w:bCs/>
                <w:szCs w:val="21"/>
              </w:rPr>
              <w:t xml:space="preserve"> CSI(s) are associated with </w:t>
            </w:r>
            <w:r>
              <w:rPr>
                <w:bCs/>
                <w:i/>
                <w:szCs w:val="21"/>
              </w:rPr>
              <w:t>N</w:t>
            </w:r>
            <w:r>
              <w:rPr>
                <w:bCs/>
                <w:szCs w:val="21"/>
              </w:rPr>
              <w:t xml:space="preserve"> sub-configuration(s) from </w:t>
            </w:r>
            <w:r>
              <w:rPr>
                <w:bCs/>
                <w:i/>
                <w:szCs w:val="21"/>
              </w:rPr>
              <w:t>L</w:t>
            </w:r>
            <w:r>
              <w:rPr>
                <w:bCs/>
                <w:szCs w:val="21"/>
              </w:rPr>
              <w:t xml:space="preserve"> (where </w:t>
            </w:r>
            <m:oMath>
              <m:r>
                <m:rPr>
                  <m:sty m:val="p"/>
                </m:rPr>
                <w:rPr>
                  <w:rFonts w:ascii="Cambria Math" w:hAnsi="Cambria Math"/>
                  <w:szCs w:val="21"/>
                </w:rPr>
                <m:t>1≤</m:t>
              </m:r>
              <m:r>
                <w:rPr>
                  <w:rFonts w:ascii="Cambria Math" w:hAnsi="Cambria Math"/>
                  <w:szCs w:val="21"/>
                </w:rPr>
                <m:t>N</m:t>
              </m:r>
              <m:r>
                <m:rPr>
                  <m:sty m:val="p"/>
                </m:rPr>
                <w:rPr>
                  <w:rFonts w:ascii="Cambria Math" w:hAnsi="Cambria Math"/>
                  <w:szCs w:val="21"/>
                </w:rPr>
                <m:t>≤</m:t>
              </m:r>
              <m:r>
                <w:rPr>
                  <w:rFonts w:ascii="Cambria Math" w:hAnsi="Cambria Math"/>
                  <w:szCs w:val="21"/>
                </w:rPr>
                <m:t>L</m:t>
              </m:r>
            </m:oMath>
            <w:r>
              <w:rPr>
                <w:bCs/>
                <w:szCs w:val="21"/>
              </w:rPr>
              <w:t>) and each CSI corresponds to one sub-configuration.</w:t>
            </w:r>
          </w:p>
          <w:p>
            <w:pPr>
              <w:pStyle w:val="37"/>
              <w:numPr>
                <w:ilvl w:val="0"/>
                <w:numId w:val="14"/>
              </w:numPr>
              <w:spacing w:after="120"/>
              <w:ind w:hanging="357"/>
              <w:rPr>
                <w:sz w:val="21"/>
                <w:szCs w:val="21"/>
              </w:rPr>
            </w:pPr>
            <w:r>
              <w:rPr>
                <w:sz w:val="21"/>
                <w:szCs w:val="21"/>
              </w:rPr>
              <w:t>For discussion purpose, N=1 refers to single-CSI while N&gt;1 refers to multi-CSI.</w:t>
            </w:r>
          </w:p>
          <w:p>
            <w:pPr>
              <w:numPr>
                <w:ilvl w:val="0"/>
                <w:numId w:val="15"/>
              </w:numPr>
              <w:spacing w:before="120" w:after="120"/>
              <w:rPr>
                <w:bCs/>
                <w:szCs w:val="21"/>
              </w:rPr>
            </w:pPr>
            <w:r>
              <w:rPr>
                <w:bCs/>
                <w:szCs w:val="21"/>
              </w:rPr>
              <w:t>For Semi-persistent/Aperiodic CSI reporting, support gNB trigger/indicate/activate report of N≤L CSIs where N&gt;=1</w:t>
            </w:r>
          </w:p>
          <w:p>
            <w:pPr>
              <w:numPr>
                <w:ilvl w:val="0"/>
                <w:numId w:val="15"/>
              </w:numPr>
              <w:spacing w:before="120" w:after="120"/>
              <w:rPr>
                <w:bCs/>
                <w:szCs w:val="21"/>
              </w:rPr>
            </w:pPr>
            <w:r>
              <w:rPr>
                <w:bCs/>
                <w:szCs w:val="21"/>
              </w:rPr>
              <w:t>The maximum value of N and L are subject to UE capability</w:t>
            </w:r>
          </w:p>
          <w:p>
            <w:pPr>
              <w:numPr>
                <w:ilvl w:val="0"/>
                <w:numId w:val="15"/>
              </w:numPr>
              <w:spacing w:before="120" w:after="120"/>
              <w:rPr>
                <w:bCs/>
                <w:szCs w:val="21"/>
              </w:rPr>
            </w:pPr>
            <w:r>
              <w:rPr>
                <w:bCs/>
                <w:szCs w:val="21"/>
              </w:rPr>
              <w:t>Further study how to address/minimize additional UE complexity</w:t>
            </w:r>
          </w:p>
          <w:p>
            <w:pPr>
              <w:spacing w:before="120" w:after="120"/>
              <w:rPr>
                <w:bCs/>
                <w:szCs w:val="21"/>
              </w:rPr>
            </w:pPr>
            <w:r>
              <w:rPr>
                <w:bCs/>
                <w:szCs w:val="21"/>
              </w:rPr>
              <w:t>The following bullet was objected by not agreed due to objection from Apple and vivo</w:t>
            </w:r>
          </w:p>
          <w:p>
            <w:pPr>
              <w:numPr>
                <w:ilvl w:val="0"/>
                <w:numId w:val="16"/>
              </w:numPr>
              <w:spacing w:before="120" w:after="120"/>
              <w:rPr>
                <w:bCs/>
                <w:szCs w:val="21"/>
              </w:rPr>
            </w:pPr>
            <w:r>
              <w:rPr>
                <w:bCs/>
                <w:szCs w:val="21"/>
              </w:rPr>
              <w:t>For Periodic CSI reporting, at least the case of N=L is supported where N&gt;=1</w:t>
            </w:r>
          </w:p>
          <w:p>
            <w:pPr>
              <w:spacing w:before="120" w:after="120"/>
              <w:rPr>
                <w:bCs/>
                <w:szCs w:val="21"/>
                <w:u w:val="single"/>
              </w:rPr>
            </w:pPr>
            <w:r>
              <w:rPr>
                <w:bCs/>
                <w:szCs w:val="21"/>
                <w:u w:val="single"/>
              </w:rPr>
              <w:t>Conclusion</w:t>
            </w:r>
          </w:p>
          <w:p>
            <w:pPr>
              <w:spacing w:before="120" w:after="120"/>
              <w:rPr>
                <w:bCs/>
                <w:szCs w:val="21"/>
              </w:rPr>
            </w:pPr>
            <w:r>
              <w:rPr>
                <w:bCs/>
                <w:szCs w:val="21"/>
              </w:rPr>
              <w:t>New CSI-RS resource (RE mapping) pattern is not introduced for R18 network energy savings purpose.</w:t>
            </w:r>
          </w:p>
          <w:p>
            <w:pPr>
              <w:pStyle w:val="37"/>
              <w:numPr>
                <w:ilvl w:val="0"/>
                <w:numId w:val="14"/>
              </w:numPr>
              <w:spacing w:after="120"/>
              <w:rPr>
                <w:sz w:val="21"/>
                <w:szCs w:val="21"/>
                <w:lang w:eastAsia="ko-KR"/>
              </w:rPr>
            </w:pPr>
            <w:r>
              <w:rPr>
                <w:sz w:val="21"/>
                <w:szCs w:val="21"/>
              </w:rPr>
              <w:t xml:space="preserve">Note: CSI-RS resource (RE mapping) pattern above refers to a row </w:t>
            </w:r>
            <w:r>
              <w:rPr>
                <w:sz w:val="21"/>
                <w:szCs w:val="21"/>
                <w:lang w:eastAsia="ko-KR"/>
              </w:rPr>
              <w:t>in TS 38.211 Table 7.4.1.5.3-1 determining CSI-RS locations within a slot.</w:t>
            </w:r>
          </w:p>
          <w:p>
            <w:pPr>
              <w:spacing w:before="120" w:after="120"/>
              <w:rPr>
                <w:bCs/>
                <w:szCs w:val="21"/>
                <w:highlight w:val="green"/>
              </w:rPr>
            </w:pPr>
            <w:r>
              <w:rPr>
                <w:bCs/>
                <w:szCs w:val="21"/>
                <w:highlight w:val="green"/>
              </w:rPr>
              <w:t>Agreement</w:t>
            </w:r>
          </w:p>
          <w:p>
            <w:pPr>
              <w:spacing w:before="120" w:after="120"/>
              <w:rPr>
                <w:rFonts w:eastAsia="等线"/>
                <w:bCs/>
                <w:szCs w:val="21"/>
              </w:rPr>
            </w:pPr>
            <w:r>
              <w:rPr>
                <w:rFonts w:eastAsia="等线"/>
                <w:bCs/>
                <w:szCs w:val="21"/>
              </w:rPr>
              <w:t>For power domain adaptation, for CSI(s) reporting, support configuration of more than one power offset values for PDSCH relative to CSI-RS</w:t>
            </w:r>
          </w:p>
          <w:p>
            <w:pPr>
              <w:pStyle w:val="37"/>
              <w:numPr>
                <w:ilvl w:val="0"/>
                <w:numId w:val="14"/>
              </w:numPr>
              <w:spacing w:after="120"/>
              <w:rPr>
                <w:sz w:val="21"/>
                <w:szCs w:val="21"/>
              </w:rPr>
            </w:pPr>
            <w:r>
              <w:rPr>
                <w:sz w:val="21"/>
                <w:szCs w:val="21"/>
              </w:rPr>
              <w:t>FFS: impact on CSI processing requirement</w:t>
            </w:r>
          </w:p>
          <w:p>
            <w:pPr>
              <w:pStyle w:val="37"/>
              <w:numPr>
                <w:ilvl w:val="0"/>
                <w:numId w:val="14"/>
              </w:numPr>
              <w:spacing w:after="120"/>
              <w:rPr>
                <w:sz w:val="21"/>
                <w:szCs w:val="21"/>
              </w:rPr>
            </w:pPr>
            <w:r>
              <w:rPr>
                <w:rFonts w:eastAsia="PMingLiU"/>
                <w:sz w:val="21"/>
                <w:szCs w:val="21"/>
                <w:lang w:eastAsia="zh-TW"/>
              </w:rPr>
              <w:t>FFS: details on configuration/indication of the power offset values</w:t>
            </w:r>
          </w:p>
          <w:p>
            <w:pPr>
              <w:pStyle w:val="37"/>
              <w:numPr>
                <w:ilvl w:val="0"/>
                <w:numId w:val="14"/>
              </w:numPr>
              <w:spacing w:after="120"/>
              <w:rPr>
                <w:sz w:val="21"/>
                <w:szCs w:val="21"/>
              </w:rPr>
            </w:pPr>
            <w:r>
              <w:rPr>
                <w:rFonts w:eastAsia="PMingLiU"/>
                <w:sz w:val="21"/>
                <w:szCs w:val="21"/>
                <w:lang w:eastAsia="zh-TW"/>
              </w:rPr>
              <w:t>FFS: whether/how to additionally consider the case where CSI-RS power is changed</w:t>
            </w:r>
          </w:p>
          <w:p>
            <w:pPr>
              <w:spacing w:before="120" w:after="120"/>
              <w:rPr>
                <w:szCs w:val="21"/>
                <w:highlight w:val="green"/>
              </w:rPr>
            </w:pPr>
            <w:r>
              <w:rPr>
                <w:szCs w:val="21"/>
                <w:highlight w:val="green"/>
              </w:rPr>
              <w:t>Agreement</w:t>
            </w:r>
          </w:p>
          <w:p>
            <w:pPr>
              <w:spacing w:before="120" w:after="120"/>
              <w:rPr>
                <w:szCs w:val="21"/>
              </w:rPr>
            </w:pPr>
            <w:r>
              <w:rPr>
                <w:szCs w:val="21"/>
              </w:rPr>
              <w:t xml:space="preserve">For CSI feedback with CSI overhead/report payload reduction, further study whether/how to report a common value and/or a differential and/or joint </w:t>
            </w:r>
            <w:r>
              <w:rPr>
                <w:rFonts w:hint="eastAsia"/>
                <w:szCs w:val="21"/>
              </w:rPr>
              <w:t>coded</w:t>
            </w:r>
            <w:r>
              <w:rPr>
                <w:szCs w:val="21"/>
              </w:rPr>
              <w:t xml:space="preserve"> value across same CSI quantity of different sub-configurations/adaptation patterns, at least for the following</w:t>
            </w:r>
          </w:p>
          <w:p>
            <w:pPr>
              <w:pStyle w:val="37"/>
              <w:numPr>
                <w:ilvl w:val="0"/>
                <w:numId w:val="17"/>
              </w:numPr>
              <w:spacing w:after="120"/>
              <w:rPr>
                <w:rFonts w:eastAsia="MS Mincho"/>
                <w:sz w:val="21"/>
                <w:szCs w:val="21"/>
              </w:rPr>
            </w:pPr>
            <w:r>
              <w:rPr>
                <w:rFonts w:eastAsia="MS Mincho"/>
                <w:sz w:val="21"/>
                <w:szCs w:val="21"/>
              </w:rPr>
              <w:t>CRI</w:t>
            </w:r>
          </w:p>
          <w:p>
            <w:pPr>
              <w:pStyle w:val="37"/>
              <w:numPr>
                <w:ilvl w:val="0"/>
                <w:numId w:val="17"/>
              </w:numPr>
              <w:spacing w:after="120"/>
              <w:rPr>
                <w:rFonts w:eastAsia="MS Mincho"/>
                <w:sz w:val="21"/>
                <w:szCs w:val="21"/>
              </w:rPr>
            </w:pPr>
            <w:r>
              <w:rPr>
                <w:rFonts w:eastAsia="MS Mincho"/>
                <w:sz w:val="21"/>
                <w:szCs w:val="21"/>
              </w:rPr>
              <w:t>RI</w:t>
            </w:r>
          </w:p>
          <w:p>
            <w:pPr>
              <w:pStyle w:val="37"/>
              <w:numPr>
                <w:ilvl w:val="0"/>
                <w:numId w:val="17"/>
              </w:numPr>
              <w:spacing w:after="120"/>
              <w:rPr>
                <w:rFonts w:eastAsia="MS Mincho"/>
                <w:sz w:val="21"/>
                <w:szCs w:val="21"/>
              </w:rPr>
            </w:pPr>
            <w:r>
              <w:rPr>
                <w:rFonts w:eastAsia="MS Mincho"/>
                <w:sz w:val="21"/>
                <w:szCs w:val="21"/>
              </w:rPr>
              <w:t>PMI</w:t>
            </w:r>
          </w:p>
          <w:p>
            <w:pPr>
              <w:pStyle w:val="37"/>
              <w:numPr>
                <w:ilvl w:val="0"/>
                <w:numId w:val="17"/>
              </w:numPr>
              <w:spacing w:after="120"/>
              <w:rPr>
                <w:rFonts w:eastAsia="MS Mincho"/>
                <w:sz w:val="21"/>
                <w:szCs w:val="21"/>
              </w:rPr>
            </w:pPr>
            <w:r>
              <w:rPr>
                <w:rFonts w:eastAsia="MS Mincho"/>
                <w:sz w:val="21"/>
                <w:szCs w:val="21"/>
              </w:rPr>
              <w:t>CQI</w:t>
            </w:r>
          </w:p>
          <w:p>
            <w:pPr>
              <w:pStyle w:val="37"/>
              <w:numPr>
                <w:ilvl w:val="0"/>
                <w:numId w:val="17"/>
              </w:numPr>
              <w:spacing w:after="120"/>
              <w:rPr>
                <w:rFonts w:eastAsia="MS Mincho"/>
                <w:sz w:val="21"/>
                <w:szCs w:val="21"/>
              </w:rPr>
            </w:pPr>
            <w:r>
              <w:rPr>
                <w:rFonts w:eastAsia="MS Mincho"/>
                <w:sz w:val="21"/>
                <w:szCs w:val="21"/>
              </w:rPr>
              <w:t>FFS: L1-RSRP</w:t>
            </w:r>
          </w:p>
          <w:p>
            <w:pPr>
              <w:pStyle w:val="37"/>
              <w:numPr>
                <w:ilvl w:val="0"/>
                <w:numId w:val="17"/>
              </w:numPr>
              <w:spacing w:after="120"/>
              <w:rPr>
                <w:rFonts w:eastAsia="MS Mincho"/>
                <w:sz w:val="21"/>
                <w:szCs w:val="21"/>
              </w:rPr>
            </w:pPr>
            <w:r>
              <w:rPr>
                <w:rFonts w:eastAsia="MS Mincho"/>
                <w:sz w:val="21"/>
                <w:szCs w:val="21"/>
              </w:rPr>
              <w:t>Other (new) report quantity, if any</w:t>
            </w:r>
          </w:p>
          <w:p>
            <w:pPr>
              <w:spacing w:before="120" w:after="120"/>
              <w:rPr>
                <w:rFonts w:eastAsia="MS Mincho"/>
                <w:szCs w:val="21"/>
              </w:rPr>
            </w:pPr>
            <w:r>
              <w:rPr>
                <w:szCs w:val="21"/>
              </w:rPr>
              <w:t xml:space="preserve">Further study </w:t>
            </w:r>
            <w:r>
              <w:rPr>
                <w:rFonts w:eastAsia="MS Mincho"/>
                <w:szCs w:val="21"/>
              </w:rPr>
              <w:t xml:space="preserve">whether/how it is feasible/possible for the UE to skip the evaluations of some </w:t>
            </w:r>
            <w:r>
              <w:rPr>
                <w:szCs w:val="21"/>
              </w:rPr>
              <w:t xml:space="preserve">sub-configurations/adaptation </w:t>
            </w:r>
            <w:r>
              <w:rPr>
                <w:rFonts w:eastAsia="MS Mincho"/>
                <w:szCs w:val="21"/>
              </w:rPr>
              <w:t>patterns to reduce the burden at the UE.</w:t>
            </w:r>
          </w:p>
          <w:p>
            <w:pPr>
              <w:spacing w:before="120" w:after="120"/>
              <w:rPr>
                <w:szCs w:val="21"/>
                <w:highlight w:val="green"/>
              </w:rPr>
            </w:pPr>
            <w:r>
              <w:rPr>
                <w:szCs w:val="21"/>
                <w:highlight w:val="green"/>
              </w:rPr>
              <w:t>Agreement</w:t>
            </w:r>
          </w:p>
          <w:p>
            <w:pPr>
              <w:spacing w:before="120" w:after="120"/>
              <w:rPr>
                <w:szCs w:val="21"/>
              </w:rPr>
            </w:pPr>
            <w:r>
              <w:rPr>
                <w:szCs w:val="21"/>
              </w:rPr>
              <w:t>For power domain adaptation, support the following configuration(s) for CSI-RS resource configuration,</w:t>
            </w:r>
          </w:p>
          <w:p>
            <w:pPr>
              <w:numPr>
                <w:ilvl w:val="0"/>
                <w:numId w:val="13"/>
              </w:numPr>
              <w:spacing w:before="120" w:after="120"/>
              <w:contextualSpacing/>
              <w:rPr>
                <w:rFonts w:eastAsia="MS Mincho"/>
                <w:szCs w:val="21"/>
                <w:lang w:eastAsia="ja-JP"/>
              </w:rPr>
            </w:pPr>
            <w:r>
              <w:rPr>
                <w:szCs w:val="21"/>
              </w:rPr>
              <w:t>A1-2-power: one or more resources can be configured in a resource set within a resource setting and each resource can be associated with one or more power offset values</w:t>
            </w:r>
          </w:p>
          <w:p>
            <w:pPr>
              <w:numPr>
                <w:ilvl w:val="0"/>
                <w:numId w:val="13"/>
              </w:numPr>
              <w:spacing w:before="120" w:after="120"/>
              <w:contextualSpacing/>
              <w:rPr>
                <w:rFonts w:eastAsia="MS Mincho"/>
                <w:szCs w:val="21"/>
                <w:lang w:eastAsia="ja-JP"/>
              </w:rPr>
            </w:pPr>
            <w:r>
              <w:rPr>
                <w:szCs w:val="21"/>
              </w:rPr>
              <w:t>FFS: A1-1-power: a resource set with multiple resources is configured within a resource setting, where resources can have different power offset values</w:t>
            </w:r>
          </w:p>
          <w:p>
            <w:pPr>
              <w:numPr>
                <w:ilvl w:val="0"/>
                <w:numId w:val="13"/>
              </w:numPr>
              <w:spacing w:before="120" w:after="120"/>
              <w:contextualSpacing/>
              <w:rPr>
                <w:rFonts w:eastAsia="MS Mincho"/>
                <w:szCs w:val="21"/>
                <w:lang w:eastAsia="ja-JP"/>
              </w:rPr>
            </w:pPr>
            <w:r>
              <w:rPr>
                <w:szCs w:val="21"/>
              </w:rPr>
              <w:t>FFS: Details of how the different power offset values(s) are configured/indicated.</w:t>
            </w:r>
          </w:p>
          <w:p>
            <w:pPr>
              <w:spacing w:before="120" w:after="120"/>
              <w:rPr>
                <w:bCs/>
                <w:szCs w:val="21"/>
                <w:highlight w:val="green"/>
              </w:rPr>
            </w:pPr>
            <w:r>
              <w:rPr>
                <w:bCs/>
                <w:szCs w:val="21"/>
                <w:highlight w:val="green"/>
              </w:rPr>
              <w:t>Agreement</w:t>
            </w:r>
          </w:p>
          <w:p>
            <w:pPr>
              <w:spacing w:before="120" w:after="120"/>
              <w:rPr>
                <w:bCs/>
                <w:szCs w:val="21"/>
              </w:rPr>
            </w:pPr>
            <w:r>
              <w:rPr>
                <w:bCs/>
                <w:szCs w:val="21"/>
              </w:rPr>
              <w:t>For R18 NES, only legacy port configuration values (N1, N2) or (Ng, N1, N2) are supported.</w:t>
            </w:r>
          </w:p>
          <w:p>
            <w:pPr>
              <w:pStyle w:val="37"/>
              <w:numPr>
                <w:ilvl w:val="0"/>
                <w:numId w:val="18"/>
              </w:numPr>
              <w:spacing w:after="120"/>
              <w:rPr>
                <w:bCs/>
                <w:sz w:val="21"/>
                <w:szCs w:val="21"/>
              </w:rPr>
            </w:pPr>
            <w:r>
              <w:rPr>
                <w:bCs/>
                <w:sz w:val="21"/>
                <w:szCs w:val="21"/>
              </w:rPr>
              <w:t>FFS: Whether/what restriction for A1-1-revised and A-1-2-revised w.r.t number of ports</w:t>
            </w:r>
          </w:p>
          <w:p>
            <w:pPr>
              <w:spacing w:before="120" w:after="120"/>
              <w:rPr>
                <w:rFonts w:eastAsia="等线"/>
                <w:bCs/>
                <w:szCs w:val="21"/>
                <w:highlight w:val="green"/>
                <w:lang w:eastAsia="en-GB"/>
              </w:rPr>
            </w:pPr>
            <w:r>
              <w:rPr>
                <w:bCs/>
                <w:szCs w:val="21"/>
                <w:highlight w:val="green"/>
                <w:lang w:eastAsia="en-GB"/>
              </w:rPr>
              <w:t>Agreement</w:t>
            </w:r>
          </w:p>
          <w:p>
            <w:pPr>
              <w:spacing w:before="120" w:after="120"/>
              <w:rPr>
                <w:szCs w:val="21"/>
                <w:lang w:eastAsia="en-GB"/>
              </w:rPr>
            </w:pPr>
            <w:r>
              <w:rPr>
                <w:szCs w:val="21"/>
              </w:rPr>
              <w:t xml:space="preserve">For Semi-persistent/Aperiodic CSI reporting with </w:t>
            </w:r>
            <m:oMath>
              <m:r>
                <m:rPr>
                  <m:sty m:val="p"/>
                </m:rPr>
                <w:rPr>
                  <w:rFonts w:ascii="Cambria Math" w:hAnsi="Cambria Math"/>
                  <w:szCs w:val="21"/>
                </w:rPr>
                <m:t>1≤</m:t>
              </m:r>
              <m:r>
                <w:rPr>
                  <w:rFonts w:ascii="Cambria Math" w:hAnsi="Cambria Math"/>
                  <w:szCs w:val="21"/>
                </w:rPr>
                <m:t>N</m:t>
              </m:r>
              <m:r>
                <m:rPr>
                  <m:sty m:val="p"/>
                </m:rPr>
                <w:rPr>
                  <w:rFonts w:ascii="Cambria Math" w:hAnsi="Cambria Math"/>
                  <w:szCs w:val="21"/>
                </w:rPr>
                <m:t>≤</m:t>
              </m:r>
              <m:r>
                <w:rPr>
                  <w:rFonts w:ascii="Cambria Math" w:hAnsi="Cambria Math"/>
                  <w:szCs w:val="21"/>
                </w:rPr>
                <m:t>L</m:t>
              </m:r>
            </m:oMath>
            <w:r>
              <w:rPr>
                <w:szCs w:val="21"/>
              </w:rPr>
              <w:t>, study what enhancements to the current DCI and MAC-CE mechanisms are needed for gNB triggering/indication/activation of the N CSI(s) in a reporting instance, where the N CSI(s) are associated with N sub-configuration(s) from L in a report config.</w:t>
            </w:r>
          </w:p>
          <w:p>
            <w:pPr>
              <w:spacing w:before="120" w:after="120"/>
              <w:rPr>
                <w:szCs w:val="21"/>
                <w:lang w:eastAsia="ko-KR"/>
              </w:rPr>
            </w:pPr>
          </w:p>
          <w:p>
            <w:pPr>
              <w:spacing w:before="120" w:after="120"/>
              <w:rPr>
                <w:bCs/>
                <w:szCs w:val="21"/>
                <w:u w:val="single"/>
              </w:rPr>
            </w:pPr>
            <w:r>
              <w:rPr>
                <w:bCs/>
                <w:szCs w:val="21"/>
                <w:u w:val="single"/>
              </w:rPr>
              <w:t>Conclusion</w:t>
            </w:r>
          </w:p>
          <w:p>
            <w:pPr>
              <w:spacing w:before="120" w:after="120"/>
              <w:rPr>
                <w:szCs w:val="21"/>
              </w:rPr>
            </w:pPr>
            <w:r>
              <w:rPr>
                <w:szCs w:val="21"/>
              </w:rPr>
              <w:t xml:space="preserve">From RAN1 perspective, there is no action needed for the LS </w:t>
            </w:r>
            <w:r>
              <w:fldChar w:fldCharType="begin"/>
            </w:r>
            <w:r>
              <w:instrText xml:space="preserve"> HYPERLINK "../Docs/R1-2302288.zip" </w:instrText>
            </w:r>
            <w:r>
              <w:fldChar w:fldCharType="separate"/>
            </w:r>
            <w:r>
              <w:rPr>
                <w:rStyle w:val="24"/>
                <w:color w:val="auto"/>
                <w:szCs w:val="21"/>
              </w:rPr>
              <w:t>R1-2302288</w:t>
            </w:r>
            <w:r>
              <w:rPr>
                <w:rStyle w:val="24"/>
                <w:color w:val="auto"/>
                <w:szCs w:val="21"/>
              </w:rPr>
              <w:fldChar w:fldCharType="end"/>
            </w:r>
            <w:r>
              <w:rPr>
                <w:szCs w:val="21"/>
              </w:rPr>
              <w:t xml:space="preserve"> from SA5 this time.</w:t>
            </w:r>
          </w:p>
        </w:tc>
      </w:tr>
    </w:tbl>
    <w:p>
      <w:pPr>
        <w:spacing w:before="120" w:after="120" w:line="256" w:lineRule="auto"/>
        <w:rPr>
          <w:szCs w:val="21"/>
        </w:rPr>
      </w:pPr>
      <w:r>
        <w:rPr>
          <w:szCs w:val="21"/>
        </w:rPr>
        <w:t xml:space="preserve">In this paper, the enhanced CSI measurement/ reporting and dynamic indication for spatial and power domain adaptation are discussed. </w:t>
      </w:r>
    </w:p>
    <w:p>
      <w:pPr>
        <w:pStyle w:val="2"/>
        <w:numPr>
          <w:ilvl w:val="0"/>
          <w:numId w:val="10"/>
        </w:numPr>
        <w:spacing w:before="120" w:after="120"/>
        <w:rPr>
          <w:rFonts w:ascii="Times New Roman" w:hAnsi="Times New Roman" w:eastAsia="宋体"/>
          <w:b/>
          <w:bCs/>
          <w:sz w:val="28"/>
          <w:szCs w:val="28"/>
        </w:rPr>
      </w:pPr>
      <w:r>
        <w:rPr>
          <w:rFonts w:ascii="Times New Roman" w:hAnsi="Times New Roman" w:eastAsia="宋体"/>
          <w:b/>
          <w:bCs/>
          <w:sz w:val="28"/>
          <w:szCs w:val="28"/>
        </w:rPr>
        <w:t>N</w:t>
      </w:r>
      <w:r>
        <w:rPr>
          <w:rFonts w:hint="eastAsia" w:ascii="Times New Roman" w:hAnsi="Times New Roman" w:eastAsia="宋体"/>
          <w:b/>
          <w:bCs/>
          <w:sz w:val="28"/>
          <w:szCs w:val="28"/>
        </w:rPr>
        <w:t>ecessity of multiple CSI reports</w:t>
      </w:r>
    </w:p>
    <w:p>
      <w:pPr>
        <w:spacing w:before="120" w:after="120"/>
      </w:pPr>
      <w:r>
        <w:rPr>
          <w:rFonts w:hint="eastAsia"/>
        </w:rPr>
        <w:t>If the number of antenna</w:t>
      </w:r>
      <w:r>
        <w:t>s</w:t>
      </w:r>
      <w:r>
        <w:rPr>
          <w:rFonts w:hint="eastAsia"/>
        </w:rPr>
        <w:t xml:space="preserve"> for CSI-RS is changed dynamically, the CSI reported before </w:t>
      </w:r>
      <w:r>
        <w:t>the</w:t>
      </w:r>
      <w:r>
        <w:rPr>
          <w:rFonts w:hint="eastAsia"/>
        </w:rPr>
        <w:t xml:space="preserve"> adaptation </w:t>
      </w:r>
      <w:r>
        <w:t>will</w:t>
      </w:r>
      <w:r>
        <w:rPr>
          <w:rFonts w:hint="eastAsia"/>
        </w:rPr>
        <w:t xml:space="preserve"> </w:t>
      </w:r>
      <w:r>
        <w:t>be</w:t>
      </w:r>
      <w:r>
        <w:rPr>
          <w:rFonts w:hint="eastAsia"/>
        </w:rPr>
        <w:t xml:space="preserve"> </w:t>
      </w:r>
      <w:r>
        <w:t>out-of-state</w:t>
      </w:r>
      <w:r>
        <w:rPr>
          <w:rFonts w:hint="eastAsia"/>
        </w:rPr>
        <w:t xml:space="preserve"> for the </w:t>
      </w:r>
      <w:r>
        <w:t>data scheduling</w:t>
      </w:r>
      <w:r>
        <w:rPr>
          <w:rFonts w:hint="eastAsia"/>
        </w:rPr>
        <w:t xml:space="preserve"> after adap</w:t>
      </w:r>
      <w:r>
        <w:t>ta</w:t>
      </w:r>
      <w:r>
        <w:rPr>
          <w:rFonts w:hint="eastAsia"/>
        </w:rPr>
        <w:t>tion. Therefore, it will be benefi</w:t>
      </w:r>
      <w:r>
        <w:t>cial</w:t>
      </w:r>
      <w:r>
        <w:rPr>
          <w:rFonts w:hint="eastAsia"/>
        </w:rPr>
        <w:t xml:space="preserve"> if UE report CSIs for different number</w:t>
      </w:r>
      <w:r>
        <w:t>s</w:t>
      </w:r>
      <w:r>
        <w:rPr>
          <w:rFonts w:hint="eastAsia"/>
        </w:rPr>
        <w:t xml:space="preserve"> of CSI-RS ports</w:t>
      </w:r>
      <w:r>
        <w:t xml:space="preserve"> in advance so that</w:t>
      </w:r>
      <w:r>
        <w:rPr>
          <w:rFonts w:hint="eastAsia"/>
        </w:rPr>
        <w:t xml:space="preserve"> gNB has more </w:t>
      </w:r>
      <w:r>
        <w:t>information</w:t>
      </w:r>
      <w:r>
        <w:rPr>
          <w:rFonts w:hint="eastAsia"/>
        </w:rPr>
        <w:t xml:space="preserve"> about </w:t>
      </w:r>
      <w:r>
        <w:t xml:space="preserve">channel state of </w:t>
      </w:r>
      <w:r>
        <w:rPr>
          <w:rFonts w:hint="eastAsia"/>
        </w:rPr>
        <w:t xml:space="preserve">different number of ports, </w:t>
      </w:r>
      <w:r>
        <w:t>it</w:t>
      </w:r>
      <w:r>
        <w:rPr>
          <w:rFonts w:hint="eastAsia"/>
        </w:rPr>
        <w:t xml:space="preserve"> has more choices to adapt the antenna</w:t>
      </w:r>
      <w:r>
        <w:t xml:space="preserve"> patterns to fit into traffic arrival and channel condition without sacrificing network energy saving gain (ESG) and system performance</w:t>
      </w:r>
      <w:r>
        <w:rPr>
          <w:rFonts w:hint="eastAsia"/>
        </w:rPr>
        <w:t>.</w:t>
      </w:r>
    </w:p>
    <w:p>
      <w:pPr>
        <w:spacing w:before="120" w:after="120"/>
      </w:pPr>
      <w:bookmarkStart w:id="1" w:name="_Toc10058"/>
      <w:r>
        <w:rPr>
          <w:rFonts w:hint="eastAsia"/>
        </w:rPr>
        <w:t>In this section, the evaluation results of dynamic antenna adaptation with multi-CSI report and single CSI report are provided. FTP3 with 20KByte packet size is used. The simulation assumption</w:t>
      </w:r>
      <w:r>
        <w:t>s</w:t>
      </w:r>
      <w:r>
        <w:rPr>
          <w:rFonts w:hint="eastAsia"/>
        </w:rPr>
        <w:t xml:space="preserve"> are provided in Appendix</w:t>
      </w:r>
      <w:r>
        <w:t xml:space="preserve"> A.1</w:t>
      </w:r>
      <w:r>
        <w:rPr>
          <w:rFonts w:hint="eastAsia"/>
        </w:rPr>
        <w:t>.</w:t>
      </w:r>
    </w:p>
    <w:p>
      <w:pPr>
        <w:spacing w:before="120" w:after="120"/>
      </w:pPr>
      <w:r>
        <w:rPr>
          <w:rFonts w:hint="eastAsia"/>
        </w:rPr>
        <w:t xml:space="preserve">In dynamic antenna adaptation with single CSI report, </w:t>
      </w:r>
      <w:r>
        <w:rPr>
          <w:rFonts w:hint="eastAsia" w:eastAsiaTheme="minorEastAsia"/>
        </w:rPr>
        <w:t>t</w:t>
      </w:r>
      <w:r>
        <w:rPr>
          <w:rFonts w:hint="eastAsia"/>
        </w:rPr>
        <w:t>he gNB can dynamically change the TxRU</w:t>
      </w:r>
      <w:r>
        <w:t>s</w:t>
      </w:r>
      <w:r>
        <w:rPr>
          <w:rFonts w:hint="eastAsia"/>
        </w:rPr>
        <w:t xml:space="preserve"> a</w:t>
      </w:r>
      <w:r>
        <w:t xml:space="preserve">mong </w:t>
      </w:r>
      <w:r>
        <w:rPr>
          <w:rFonts w:hint="eastAsia"/>
        </w:rPr>
        <w:t>{64TxRU</w:t>
      </w:r>
      <w:r>
        <w:t>s</w:t>
      </w:r>
      <w:r>
        <w:rPr>
          <w:rFonts w:hint="eastAsia"/>
        </w:rPr>
        <w:t>, 32TxRU</w:t>
      </w:r>
      <w:r>
        <w:t>s</w:t>
      </w:r>
      <w:r>
        <w:rPr>
          <w:rFonts w:hint="eastAsia"/>
        </w:rPr>
        <w:t>} based on the reported CSI</w:t>
      </w:r>
      <w:r>
        <w:t xml:space="preserve"> and traffic arrival, where</w:t>
      </w:r>
      <w:r>
        <w:rPr>
          <w:rFonts w:hint="eastAsia"/>
        </w:rPr>
        <w:t xml:space="preserve"> UE reports CSI</w:t>
      </w:r>
      <w:r>
        <w:t xml:space="preserve"> for</w:t>
      </w:r>
      <w:r>
        <w:rPr>
          <w:rFonts w:hint="eastAsia"/>
        </w:rPr>
        <w:t xml:space="preserve"> 64 ports or 32 ports CSI </w:t>
      </w:r>
      <w:r>
        <w:t xml:space="preserve">based on </w:t>
      </w:r>
      <w:r>
        <w:rPr>
          <w:rFonts w:hint="eastAsia"/>
        </w:rPr>
        <w:t>gNB</w:t>
      </w:r>
      <w:r>
        <w:t xml:space="preserve"> antenna adaptation</w:t>
      </w:r>
      <w:r>
        <w:rPr>
          <w:rFonts w:hint="eastAsia"/>
        </w:rPr>
        <w:t>.</w:t>
      </w:r>
    </w:p>
    <w:p>
      <w:pPr>
        <w:spacing w:before="120" w:after="120"/>
      </w:pPr>
      <w:r>
        <w:rPr>
          <w:rFonts w:hint="eastAsia"/>
        </w:rPr>
        <w:t xml:space="preserve">In dynamic antenna adaptation with multi-CSI </w:t>
      </w:r>
      <w:r>
        <w:t xml:space="preserve">in one </w:t>
      </w:r>
      <w:r>
        <w:rPr>
          <w:rFonts w:hint="eastAsia"/>
        </w:rPr>
        <w:t>report, the CSI of {64port</w:t>
      </w:r>
      <w:r>
        <w:t>s</w:t>
      </w:r>
      <w:r>
        <w:rPr>
          <w:rFonts w:hint="eastAsia"/>
        </w:rPr>
        <w:t>, 32port</w:t>
      </w:r>
      <w:r>
        <w:t>s</w:t>
      </w:r>
      <w:r>
        <w:rPr>
          <w:rFonts w:hint="eastAsia"/>
        </w:rPr>
        <w:t>, 16port</w:t>
      </w:r>
      <w:r>
        <w:t>s</w:t>
      </w:r>
      <w:r>
        <w:rPr>
          <w:rFonts w:hint="eastAsia"/>
        </w:rPr>
        <w:t>, 8port</w:t>
      </w:r>
      <w:r>
        <w:t>s</w:t>
      </w:r>
      <w:r>
        <w:rPr>
          <w:rFonts w:hint="eastAsia"/>
        </w:rPr>
        <w:t>} are reported</w:t>
      </w:r>
      <w:r>
        <w:t xml:space="preserve"> simultaneously</w:t>
      </w:r>
      <w:r>
        <w:rPr>
          <w:rFonts w:hint="eastAsia"/>
        </w:rPr>
        <w:t>, the gNB can dynamically change the TxRU</w:t>
      </w:r>
      <w:r>
        <w:t>s</w:t>
      </w:r>
      <w:r>
        <w:rPr>
          <w:rFonts w:hint="eastAsia"/>
        </w:rPr>
        <w:t xml:space="preserve"> among {64TxRU</w:t>
      </w:r>
      <w:r>
        <w:t>s</w:t>
      </w:r>
      <w:r>
        <w:rPr>
          <w:rFonts w:hint="eastAsia"/>
        </w:rPr>
        <w:t>, 32TxRU</w:t>
      </w:r>
      <w:r>
        <w:t>s</w:t>
      </w:r>
      <w:r>
        <w:rPr>
          <w:rFonts w:hint="eastAsia"/>
        </w:rPr>
        <w:t>, 16TxRU</w:t>
      </w:r>
      <w:r>
        <w:t>s</w:t>
      </w:r>
      <w:r>
        <w:rPr>
          <w:rFonts w:hint="eastAsia"/>
        </w:rPr>
        <w:t>, 8TxRU</w:t>
      </w:r>
      <w:r>
        <w:t>s</w:t>
      </w:r>
      <w:r>
        <w:rPr>
          <w:rFonts w:hint="eastAsia"/>
        </w:rPr>
        <w:t xml:space="preserve">} for PDSCH transmission based on the </w:t>
      </w:r>
      <w:r>
        <w:t xml:space="preserve">reported </w:t>
      </w:r>
      <w:r>
        <w:rPr>
          <w:rFonts w:hint="eastAsia"/>
        </w:rPr>
        <w:t>multi-CSI.</w:t>
      </w:r>
    </w:p>
    <w:p>
      <w:pPr>
        <w:spacing w:before="120" w:after="120"/>
        <w:jc w:val="center"/>
      </w:pPr>
      <w:r>
        <w:drawing>
          <wp:inline distT="0" distB="0" distL="114300" distR="114300">
            <wp:extent cx="3286760" cy="2148205"/>
            <wp:effectExtent l="4445" t="4445" r="23495" b="19050"/>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pPr>
        <w:pStyle w:val="59"/>
        <w:spacing w:before="120" w:after="120"/>
        <w:rPr>
          <w:rFonts w:hint="default"/>
        </w:rPr>
      </w:pPr>
      <w:r>
        <w:t xml:space="preserve"> Simulation results for spatial domain</w:t>
      </w:r>
    </w:p>
    <w:p>
      <w:pPr>
        <w:spacing w:before="120" w:after="120"/>
      </w:pPr>
    </w:p>
    <w:p>
      <w:pPr>
        <w:spacing w:before="120" w:after="120"/>
      </w:pPr>
      <w:r>
        <w:rPr>
          <w:rFonts w:hint="eastAsia"/>
        </w:rPr>
        <w:t xml:space="preserve">According to simulation results in Figure 1, multi-CSI </w:t>
      </w:r>
      <w:r>
        <w:t xml:space="preserve">in one </w:t>
      </w:r>
      <w:r>
        <w:rPr>
          <w:rFonts w:hint="eastAsia"/>
        </w:rPr>
        <w:t xml:space="preserve">report provides </w:t>
      </w:r>
      <w:r>
        <w:t xml:space="preserve">additional </w:t>
      </w:r>
      <w:r>
        <w:rPr>
          <w:rFonts w:hint="eastAsia"/>
        </w:rPr>
        <w:t>17.36% ESG compared with single CSI report. And multi-CSI report has less UPT loss than single CSI report.</w:t>
      </w:r>
    </w:p>
    <w:p>
      <w:pPr>
        <w:pStyle w:val="30"/>
        <w:spacing w:before="120" w:after="120"/>
      </w:pPr>
      <w:bookmarkStart w:id="2" w:name="_Toc22402"/>
      <w:bookmarkStart w:id="3" w:name="_Toc14314"/>
      <w:bookmarkStart w:id="4" w:name="_Toc5756"/>
      <w:bookmarkStart w:id="5" w:name="_Toc30555"/>
      <w:bookmarkStart w:id="6" w:name="_Toc25223"/>
      <w:bookmarkStart w:id="7" w:name="_Toc1604"/>
      <w:bookmarkStart w:id="8" w:name="_Toc14536"/>
      <w:bookmarkStart w:id="9" w:name="_Toc7715"/>
      <w:bookmarkStart w:id="10" w:name="_Toc1477"/>
      <w:bookmarkStart w:id="11" w:name="_Toc31731"/>
      <w:bookmarkStart w:id="12" w:name="_Toc127521888"/>
      <w:bookmarkStart w:id="13" w:name="_Toc11112"/>
      <w:r>
        <w:rPr>
          <w:rFonts w:hint="eastAsia"/>
          <w:lang w:val="en-US" w:eastAsia="zh-CN"/>
        </w:rPr>
        <w:t xml:space="preserve">Multi-CSI </w:t>
      </w:r>
      <w:r>
        <w:rPr>
          <w:lang w:val="en-US" w:eastAsia="zh-CN"/>
        </w:rPr>
        <w:t xml:space="preserve">in one </w:t>
      </w:r>
      <w:r>
        <w:rPr>
          <w:rFonts w:hint="eastAsia"/>
          <w:lang w:val="en-US" w:eastAsia="zh-CN"/>
        </w:rPr>
        <w:t xml:space="preserve">report provides </w:t>
      </w:r>
      <w:r>
        <w:rPr>
          <w:lang w:val="en-US" w:eastAsia="zh-CN"/>
        </w:rPr>
        <w:t xml:space="preserve">additional </w:t>
      </w:r>
      <w:r>
        <w:rPr>
          <w:rFonts w:hint="eastAsia"/>
          <w:lang w:val="en-US" w:eastAsia="zh-CN"/>
        </w:rPr>
        <w:t>17.36% ESG</w:t>
      </w:r>
      <w:r>
        <w:rPr>
          <w:lang w:val="en-US" w:eastAsia="zh-CN"/>
        </w:rPr>
        <w:t xml:space="preserve"> and less UPT loss</w:t>
      </w:r>
      <w:r>
        <w:rPr>
          <w:rFonts w:hint="eastAsia"/>
          <w:lang w:val="en-US" w:eastAsia="zh-CN"/>
        </w:rPr>
        <w:t xml:space="preserve"> compared with single CSI report.</w:t>
      </w:r>
      <w:bookmarkEnd w:id="2"/>
      <w:bookmarkEnd w:id="3"/>
      <w:bookmarkEnd w:id="4"/>
      <w:bookmarkEnd w:id="5"/>
      <w:bookmarkEnd w:id="6"/>
      <w:bookmarkEnd w:id="7"/>
      <w:bookmarkEnd w:id="8"/>
      <w:bookmarkEnd w:id="9"/>
      <w:bookmarkEnd w:id="10"/>
      <w:bookmarkEnd w:id="11"/>
      <w:bookmarkEnd w:id="12"/>
      <w:bookmarkEnd w:id="13"/>
    </w:p>
    <w:p>
      <w:pPr>
        <w:spacing w:before="120" w:after="120"/>
      </w:pPr>
      <w:bookmarkStart w:id="14" w:name="_Toc13660"/>
      <w:r>
        <w:t>Based on the evaluation results, it is clear that multi-CSI in one</w:t>
      </w:r>
      <w:r>
        <w:rPr>
          <w:rFonts w:hint="eastAsia"/>
        </w:rPr>
        <w:t xml:space="preserve"> report</w:t>
      </w:r>
      <w:r>
        <w:t xml:space="preserve"> should be supported due to the trade-off between network energy saving gain and system performance. Furthermore, to provide more chances of NES, the multi-CSI in one report should be applicable to all of the CSI reporting types, i.e., </w:t>
      </w:r>
      <w:r>
        <w:rPr>
          <w:rFonts w:hint="eastAsia"/>
        </w:rPr>
        <w:t>peri</w:t>
      </w:r>
      <w:r>
        <w:t>odic CSI, semi-persistent CSI, aperiodic CSI. However, according to the discussion in the last meeting, multi-CSI in one report to be applied to periodic CSI is still pending due to the diverse views on supporting N&lt;L sub-configurations for periodic CSI. In our views, the periodic CSI measurement and reporting are widely deployed in the 4G and 5G communication system due to the significant benefits of less signalling overhead. Therefore, to inherit this benefit, N=L should be supported as the baseline for periodic multi-CSI in one report. While N&lt;L can be additionally considered.</w:t>
      </w:r>
      <w:bookmarkEnd w:id="14"/>
    </w:p>
    <w:p>
      <w:pPr>
        <w:pStyle w:val="31"/>
        <w:spacing w:before="120" w:after="120"/>
        <w:rPr>
          <w:lang w:val="en-US" w:eastAsia="zh-CN"/>
        </w:rPr>
      </w:pPr>
      <w:bookmarkStart w:id="15" w:name="_Toc13027"/>
      <w:r>
        <w:rPr>
          <w:lang w:val="en-US" w:eastAsia="zh-CN"/>
        </w:rPr>
        <w:t>For periodic multi-CSI in one report, N=L should be supported as the baseline, N&lt;L can be additionally considered.</w:t>
      </w:r>
      <w:bookmarkEnd w:id="15"/>
    </w:p>
    <w:bookmarkEnd w:id="1"/>
    <w:p>
      <w:pPr>
        <w:pStyle w:val="2"/>
        <w:numPr>
          <w:ilvl w:val="0"/>
          <w:numId w:val="10"/>
        </w:numPr>
        <w:spacing w:before="120" w:after="120"/>
        <w:rPr>
          <w:rFonts w:ascii="Times New Roman" w:hAnsi="Times New Roman" w:eastAsia="宋体"/>
          <w:b/>
          <w:bCs/>
          <w:sz w:val="28"/>
          <w:szCs w:val="28"/>
        </w:rPr>
      </w:pPr>
      <w:r>
        <w:rPr>
          <w:rFonts w:ascii="Times New Roman" w:hAnsi="Times New Roman" w:eastAsia="宋体"/>
          <w:b/>
          <w:bCs/>
          <w:sz w:val="28"/>
          <w:szCs w:val="28"/>
        </w:rPr>
        <w:t xml:space="preserve">CSI enhancement in </w:t>
      </w:r>
      <w:r>
        <w:rPr>
          <w:rFonts w:hint="eastAsia" w:ascii="Times New Roman" w:hAnsi="Times New Roman" w:eastAsia="宋体"/>
          <w:b/>
          <w:bCs/>
          <w:sz w:val="28"/>
          <w:szCs w:val="28"/>
        </w:rPr>
        <w:t>s</w:t>
      </w:r>
      <w:r>
        <w:rPr>
          <w:rFonts w:ascii="Times New Roman" w:hAnsi="Times New Roman" w:eastAsia="宋体"/>
          <w:b/>
          <w:bCs/>
          <w:sz w:val="28"/>
          <w:szCs w:val="28"/>
        </w:rPr>
        <w:t>patial domain</w:t>
      </w:r>
    </w:p>
    <w:p>
      <w:pPr>
        <w:pStyle w:val="3"/>
        <w:numPr>
          <w:ilvl w:val="1"/>
          <w:numId w:val="10"/>
        </w:numPr>
        <w:spacing w:before="120" w:after="120"/>
        <w:ind w:right="210"/>
        <w:rPr>
          <w:rFonts w:ascii="Times New Roman" w:hAnsi="Times New Roman" w:eastAsia="宋体"/>
          <w:b/>
          <w:bCs/>
          <w:sz w:val="21"/>
          <w:szCs w:val="21"/>
        </w:rPr>
      </w:pPr>
      <w:r>
        <w:rPr>
          <w:rFonts w:hint="eastAsia" w:ascii="Times New Roman" w:hAnsi="Times New Roman" w:eastAsia="宋体"/>
          <w:b/>
          <w:bCs/>
          <w:sz w:val="21"/>
          <w:szCs w:val="21"/>
        </w:rPr>
        <w:t>High layer configuration</w:t>
      </w:r>
    </w:p>
    <w:p>
      <w:pPr>
        <w:pStyle w:val="4"/>
        <w:numPr>
          <w:ilvl w:val="2"/>
          <w:numId w:val="10"/>
        </w:numPr>
        <w:spacing w:after="120"/>
        <w:ind w:right="210"/>
        <w:rPr>
          <w:rFonts w:ascii="Times New Roman" w:hAnsi="Times New Roman"/>
          <w:b/>
          <w:bCs/>
          <w:sz w:val="21"/>
          <w:szCs w:val="21"/>
        </w:rPr>
      </w:pPr>
      <w:r>
        <w:rPr>
          <w:rFonts w:hint="eastAsia" w:ascii="Times New Roman" w:hAnsi="Times New Roman"/>
          <w:b/>
          <w:bCs/>
          <w:sz w:val="21"/>
          <w:szCs w:val="21"/>
        </w:rPr>
        <w:t>CSI-RS resource configuration</w:t>
      </w:r>
    </w:p>
    <w:p>
      <w:pPr>
        <w:spacing w:before="120" w:after="120"/>
      </w:pPr>
      <w:r>
        <w:rPr>
          <w:rFonts w:hint="eastAsia"/>
          <w:szCs w:val="21"/>
        </w:rPr>
        <w:t xml:space="preserve">In </w:t>
      </w:r>
      <w:r>
        <w:rPr>
          <w:rFonts w:hint="eastAsia"/>
        </w:rPr>
        <w:t xml:space="preserve">RAN1#112bis meeting, the following two CSI-RS resource configurations were </w:t>
      </w:r>
      <w:r>
        <w:t>agreed</w:t>
      </w:r>
      <w:r>
        <w:rPr>
          <w:rFonts w:hint="eastAsia"/>
        </w:rPr>
        <w:t xml:space="preserve">. The working assumption is that the two configurations </w:t>
      </w:r>
      <w:r>
        <w:t>are supported</w:t>
      </w:r>
      <w:r>
        <w:rPr>
          <w:rFonts w:hint="eastAsia"/>
        </w:rPr>
        <w:t xml:space="preserve">, but </w:t>
      </w:r>
      <w:r>
        <w:t>the details need further study</w:t>
      </w:r>
      <w:r>
        <w:rPr>
          <w:rFonts w:hint="eastAsia"/>
        </w:rPr>
        <w:t>.</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spacing w:before="120" w:after="120"/>
              <w:rPr>
                <w:szCs w:val="21"/>
                <w:highlight w:val="green"/>
              </w:rPr>
            </w:pPr>
            <w:r>
              <w:rPr>
                <w:szCs w:val="21"/>
                <w:highlight w:val="green"/>
              </w:rPr>
              <w:t>Agreement</w:t>
            </w:r>
            <w:r>
              <w:rPr>
                <w:szCs w:val="21"/>
              </w:rPr>
              <w:t xml:space="preserve"> (modified as shown in April 19th GTW session)</w:t>
            </w:r>
          </w:p>
          <w:p>
            <w:pPr>
              <w:spacing w:before="120" w:after="120"/>
              <w:rPr>
                <w:szCs w:val="21"/>
              </w:rPr>
            </w:pPr>
            <w:r>
              <w:rPr>
                <w:szCs w:val="21"/>
              </w:rPr>
              <w:t>Support configurability of NZP CSI-RS resource(s) for channel measurement within one resource setting corresponding to more than one spatial adaptation patterns with at least one of the following</w:t>
            </w:r>
          </w:p>
          <w:p>
            <w:pPr>
              <w:numPr>
                <w:ilvl w:val="0"/>
                <w:numId w:val="12"/>
              </w:numPr>
              <w:spacing w:before="120" w:after="120"/>
              <w:rPr>
                <w:szCs w:val="21"/>
              </w:rPr>
            </w:pPr>
            <w:r>
              <w:rPr>
                <w:szCs w:val="21"/>
              </w:rPr>
              <w:t>A1-1-revised: A resource set with multiple resources is configured within a resource setting, where each resource is associated with only one spatial adaptation pattern</w:t>
            </w:r>
          </w:p>
          <w:p>
            <w:pPr>
              <w:numPr>
                <w:ilvl w:val="0"/>
                <w:numId w:val="12"/>
              </w:numPr>
              <w:spacing w:before="120" w:after="120"/>
              <w:rPr>
                <w:szCs w:val="21"/>
              </w:rPr>
            </w:pPr>
            <w:r>
              <w:rPr>
                <w:szCs w:val="21"/>
              </w:rPr>
              <w:t>A1-2-revised: For a resource configured in a resource set within a resource setting, the resource can be associated with more than one spatial adaptation patterns</w:t>
            </w:r>
          </w:p>
          <w:p>
            <w:pPr>
              <w:numPr>
                <w:ilvl w:val="1"/>
                <w:numId w:val="12"/>
              </w:numPr>
              <w:spacing w:before="120" w:after="120"/>
            </w:pPr>
            <w:r>
              <w:rPr>
                <w:szCs w:val="21"/>
              </w:rPr>
              <w:t>One or more resources can be configured in the resource set for channel measurement.</w:t>
            </w:r>
          </w:p>
          <w:p>
            <w:pPr>
              <w:spacing w:before="120" w:after="120"/>
              <w:rPr>
                <w:szCs w:val="21"/>
                <w:highlight w:val="darkYellow"/>
              </w:rPr>
            </w:pPr>
            <w:r>
              <w:rPr>
                <w:szCs w:val="21"/>
                <w:highlight w:val="darkYellow"/>
              </w:rPr>
              <w:t>Working Assumption</w:t>
            </w:r>
          </w:p>
          <w:p>
            <w:pPr>
              <w:spacing w:before="120" w:after="120"/>
              <w:rPr>
                <w:szCs w:val="21"/>
              </w:rPr>
            </w:pPr>
            <w:r>
              <w:rPr>
                <w:szCs w:val="21"/>
              </w:rPr>
              <w:t>Al-1-revised and A1-2-revised are supported</w:t>
            </w:r>
          </w:p>
          <w:p>
            <w:pPr>
              <w:pStyle w:val="37"/>
              <w:numPr>
                <w:ilvl w:val="0"/>
                <w:numId w:val="18"/>
              </w:numPr>
              <w:spacing w:after="120"/>
            </w:pPr>
            <w:r>
              <w:rPr>
                <w:sz w:val="21"/>
                <w:szCs w:val="21"/>
              </w:rPr>
              <w:t>FFS: Which Type of SD adaptation A1-1-revised and A1-2-revised are applicable for</w:t>
            </w:r>
          </w:p>
        </w:tc>
      </w:tr>
    </w:tbl>
    <w:p>
      <w:pPr>
        <w:spacing w:before="120" w:after="120"/>
      </w:pPr>
      <w:r>
        <w:rPr>
          <w:rFonts w:hint="eastAsia"/>
        </w:rPr>
        <w:t>For A1-1-revised, multiple CSI-RS resource should be configured separately</w:t>
      </w:r>
      <w:r>
        <w:t xml:space="preserve"> and </w:t>
      </w:r>
      <w:r>
        <w:rPr>
          <w:rFonts w:hint="eastAsia"/>
        </w:rPr>
        <w:t xml:space="preserve">gNB indicates which CSI-RS resource(s) is used for CSI </w:t>
      </w:r>
      <w:r>
        <w:t>measurement and reporting.</w:t>
      </w:r>
      <w:r>
        <w:rPr>
          <w:rFonts w:hint="eastAsia"/>
        </w:rPr>
        <w:t xml:space="preserve"> The CSI-RS resource configuration has high flexibility. However, the overhead </w:t>
      </w:r>
      <w:r>
        <w:t xml:space="preserve">of </w:t>
      </w:r>
      <w:r>
        <w:rPr>
          <w:rFonts w:hint="eastAsia"/>
        </w:rPr>
        <w:t xml:space="preserve">RRC signaling </w:t>
      </w:r>
      <w:r>
        <w:t xml:space="preserve">and CSI-RS transmission </w:t>
      </w:r>
      <w:r>
        <w:rPr>
          <w:rFonts w:hint="eastAsia"/>
        </w:rPr>
        <w:t xml:space="preserve">is </w:t>
      </w:r>
      <w:r>
        <w:t>increased for multiple CSI reports</w:t>
      </w:r>
      <w:r>
        <w:rPr>
          <w:rFonts w:hint="eastAsia"/>
        </w:rPr>
        <w:t xml:space="preserve">. </w:t>
      </w:r>
    </w:p>
    <w:p>
      <w:pPr>
        <w:pStyle w:val="30"/>
        <w:spacing w:before="120" w:after="120"/>
        <w:rPr>
          <w:lang w:val="en-US" w:eastAsia="zh-CN"/>
        </w:rPr>
      </w:pPr>
      <w:bookmarkStart w:id="16" w:name="_Toc2257"/>
      <w:bookmarkStart w:id="17" w:name="_Toc28144"/>
      <w:bookmarkStart w:id="18" w:name="_Toc7563"/>
      <w:r>
        <w:rPr>
          <w:rFonts w:hint="eastAsia"/>
          <w:lang w:val="en-US" w:eastAsia="zh-CN"/>
        </w:rPr>
        <w:t xml:space="preserve">For A1-1-revised </w:t>
      </w:r>
      <w:r>
        <w:rPr>
          <w:lang w:val="en-US" w:eastAsia="zh-CN"/>
        </w:rPr>
        <w:t xml:space="preserve">CSI-RS resource </w:t>
      </w:r>
      <w:r>
        <w:rPr>
          <w:rFonts w:hint="eastAsia"/>
          <w:lang w:val="en-US" w:eastAsia="zh-CN"/>
        </w:rPr>
        <w:t xml:space="preserve">configuration, it has the following </w:t>
      </w:r>
      <w:r>
        <w:rPr>
          <w:lang w:val="en-US" w:eastAsia="zh-CN"/>
        </w:rPr>
        <w:t>pros and cons</w:t>
      </w:r>
      <w:r>
        <w:rPr>
          <w:rFonts w:hint="eastAsia"/>
          <w:lang w:val="en-US" w:eastAsia="zh-CN"/>
        </w:rPr>
        <w:t>:</w:t>
      </w:r>
      <w:bookmarkEnd w:id="16"/>
      <w:bookmarkEnd w:id="17"/>
      <w:bookmarkEnd w:id="18"/>
    </w:p>
    <w:p>
      <w:pPr>
        <w:pStyle w:val="30"/>
        <w:numPr>
          <w:ilvl w:val="0"/>
          <w:numId w:val="19"/>
        </w:numPr>
        <w:spacing w:before="120" w:after="120"/>
        <w:rPr>
          <w:lang w:val="en-US" w:eastAsia="zh-CN"/>
        </w:rPr>
      </w:pPr>
      <w:bookmarkStart w:id="19" w:name="_Toc20610"/>
      <w:bookmarkStart w:id="20" w:name="_Toc14269"/>
      <w:bookmarkStart w:id="21" w:name="_Toc6280"/>
      <w:r>
        <w:rPr>
          <w:lang w:val="en-US" w:eastAsia="zh-CN"/>
        </w:rPr>
        <w:t>H</w:t>
      </w:r>
      <w:r>
        <w:rPr>
          <w:rFonts w:hint="eastAsia"/>
          <w:lang w:val="en-US" w:eastAsia="zh-CN"/>
        </w:rPr>
        <w:t xml:space="preserve">igh flexibility </w:t>
      </w:r>
      <w:r>
        <w:rPr>
          <w:lang w:val="en-US" w:eastAsia="zh-CN"/>
        </w:rPr>
        <w:t xml:space="preserve">in </w:t>
      </w:r>
      <w:r>
        <w:rPr>
          <w:rFonts w:hint="eastAsia"/>
          <w:lang w:val="en-US" w:eastAsia="zh-CN"/>
        </w:rPr>
        <w:t>CSI-RS resource configuration</w:t>
      </w:r>
      <w:bookmarkEnd w:id="19"/>
      <w:bookmarkEnd w:id="20"/>
      <w:bookmarkEnd w:id="21"/>
      <w:r>
        <w:rPr>
          <w:rFonts w:hint="eastAsia"/>
          <w:lang w:val="en-US" w:eastAsia="zh-CN"/>
        </w:rPr>
        <w:t xml:space="preserve"> </w:t>
      </w:r>
    </w:p>
    <w:p>
      <w:pPr>
        <w:pStyle w:val="30"/>
        <w:numPr>
          <w:ilvl w:val="0"/>
          <w:numId w:val="19"/>
        </w:numPr>
        <w:spacing w:before="120" w:after="120"/>
        <w:rPr>
          <w:lang w:val="en-US" w:eastAsia="zh-CN"/>
        </w:rPr>
      </w:pPr>
      <w:bookmarkStart w:id="22" w:name="_Toc30344"/>
      <w:bookmarkStart w:id="23" w:name="_Toc751"/>
      <w:bookmarkStart w:id="24" w:name="_Toc21989"/>
      <w:r>
        <w:rPr>
          <w:rFonts w:hint="eastAsia"/>
          <w:lang w:val="en-US" w:eastAsia="zh-CN"/>
        </w:rPr>
        <w:t>L</w:t>
      </w:r>
      <w:r>
        <w:rPr>
          <w:lang w:val="en-US" w:eastAsia="zh-CN"/>
        </w:rPr>
        <w:t xml:space="preserve">arge overhead of both </w:t>
      </w:r>
      <w:r>
        <w:rPr>
          <w:rFonts w:hint="eastAsia"/>
          <w:lang w:val="en-US" w:eastAsia="zh-CN"/>
        </w:rPr>
        <w:t>RRC signaling and CSI-RS transmission</w:t>
      </w:r>
      <w:bookmarkEnd w:id="22"/>
      <w:bookmarkEnd w:id="23"/>
      <w:bookmarkEnd w:id="24"/>
    </w:p>
    <w:p>
      <w:pPr>
        <w:spacing w:before="120" w:after="120"/>
      </w:pPr>
      <w:r>
        <w:rPr>
          <w:rFonts w:hint="eastAsia"/>
        </w:rPr>
        <w:t xml:space="preserve">For A1-2-revised, </w:t>
      </w:r>
      <w:r>
        <w:t xml:space="preserve">since </w:t>
      </w:r>
      <w:r>
        <w:rPr>
          <w:rFonts w:hint="eastAsia"/>
        </w:rPr>
        <w:t>the</w:t>
      </w:r>
      <w:r>
        <w:t xml:space="preserve"> measurement</w:t>
      </w:r>
      <w:r>
        <w:rPr>
          <w:rFonts w:hint="eastAsia"/>
        </w:rPr>
        <w:t xml:space="preserve"> resource</w:t>
      </w:r>
      <w:r>
        <w:t>s</w:t>
      </w:r>
      <w:r>
        <w:rPr>
          <w:rFonts w:hint="eastAsia"/>
        </w:rPr>
        <w:t xml:space="preserve"> for different port numbers are nested</w:t>
      </w:r>
      <w:r>
        <w:t>,</w:t>
      </w:r>
      <w:r>
        <w:rPr>
          <w:rFonts w:hint="eastAsia"/>
        </w:rPr>
        <w:t xml:space="preserve"> a small</w:t>
      </w:r>
      <w:r>
        <w:t>er</w:t>
      </w:r>
      <w:r>
        <w:rPr>
          <w:rFonts w:hint="eastAsia"/>
        </w:rPr>
        <w:t xml:space="preserve"> number of </w:t>
      </w:r>
      <w:r>
        <w:t>CSI-RS resource</w:t>
      </w:r>
      <w:r>
        <w:rPr>
          <w:rFonts w:hint="eastAsia"/>
        </w:rPr>
        <w:t xml:space="preserve">s </w:t>
      </w:r>
      <w:r>
        <w:t>needs to be</w:t>
      </w:r>
      <w:r>
        <w:rPr>
          <w:rFonts w:hint="eastAsia"/>
        </w:rPr>
        <w:t xml:space="preserve"> configured</w:t>
      </w:r>
      <w:r>
        <w:t xml:space="preserve"> for other CSI measurements</w:t>
      </w:r>
      <w:r>
        <w:rPr>
          <w:rFonts w:hint="eastAsia"/>
        </w:rPr>
        <w:t>, the overhead</w:t>
      </w:r>
      <w:r>
        <w:t xml:space="preserve"> of</w:t>
      </w:r>
      <w:r>
        <w:rPr>
          <w:rFonts w:hint="eastAsia"/>
        </w:rPr>
        <w:t xml:space="preserve"> </w:t>
      </w:r>
      <w:r>
        <w:t xml:space="preserve">both </w:t>
      </w:r>
      <w:r>
        <w:rPr>
          <w:rFonts w:hint="eastAsia"/>
        </w:rPr>
        <w:t>RRC signaling</w:t>
      </w:r>
      <w:r>
        <w:t xml:space="preserve"> and CSI-RS transmission</w:t>
      </w:r>
      <w:r>
        <w:rPr>
          <w:rFonts w:hint="eastAsia"/>
        </w:rPr>
        <w:t xml:space="preserve"> is small</w:t>
      </w:r>
      <w:r>
        <w:t>er</w:t>
      </w:r>
      <w:r>
        <w:rPr>
          <w:rFonts w:hint="eastAsia"/>
        </w:rPr>
        <w:t xml:space="preserve">. </w:t>
      </w:r>
      <w:r>
        <w:t>In addition, it provides more opportunities of network energy saving</w:t>
      </w:r>
      <w:r>
        <w:rPr>
          <w:rFonts w:hint="eastAsia"/>
        </w:rPr>
        <w:t xml:space="preserve"> </w:t>
      </w:r>
      <w:r>
        <w:t>with less DL transmission. And as common</w:t>
      </w:r>
      <w:r>
        <w:rPr>
          <w:rFonts w:hint="eastAsia"/>
        </w:rPr>
        <w:t xml:space="preserve"> resource </w:t>
      </w:r>
      <w:r>
        <w:t>is used for the CSI measurement of</w:t>
      </w:r>
      <w:r>
        <w:rPr>
          <w:rFonts w:hint="eastAsia"/>
        </w:rPr>
        <w:t xml:space="preserve"> different </w:t>
      </w:r>
      <w:r>
        <w:t xml:space="preserve">CSI-RS </w:t>
      </w:r>
      <w:r>
        <w:rPr>
          <w:rFonts w:hint="eastAsia"/>
        </w:rPr>
        <w:t>port numbers</w:t>
      </w:r>
      <w:r>
        <w:t>,</w:t>
      </w:r>
      <w:r>
        <w:rPr>
          <w:rFonts w:hint="eastAsia"/>
        </w:rPr>
        <w:t xml:space="preserve"> </w:t>
      </w:r>
      <w:r>
        <w:t xml:space="preserve">the measurement results will be highly correlated </w:t>
      </w:r>
      <w:r>
        <w:rPr>
          <w:rFonts w:hint="eastAsia"/>
        </w:rPr>
        <w:t>among the CSIs. The correlation can be used to reduce the overhead</w:t>
      </w:r>
      <w:r>
        <w:t xml:space="preserve"> and complexity</w:t>
      </w:r>
      <w:r>
        <w:rPr>
          <w:rFonts w:hint="eastAsia"/>
        </w:rPr>
        <w:t xml:space="preserve"> of CSI reports. </w:t>
      </w:r>
    </w:p>
    <w:p>
      <w:pPr>
        <w:pStyle w:val="30"/>
        <w:spacing w:before="120" w:after="120"/>
        <w:rPr>
          <w:lang w:val="en-US" w:eastAsia="zh-CN"/>
        </w:rPr>
      </w:pPr>
      <w:bookmarkStart w:id="25" w:name="_Toc8870"/>
      <w:bookmarkStart w:id="26" w:name="_Toc3300"/>
      <w:bookmarkStart w:id="27" w:name="_Toc8219"/>
      <w:r>
        <w:rPr>
          <w:rFonts w:hint="eastAsia"/>
          <w:lang w:val="en-US" w:eastAsia="zh-CN"/>
        </w:rPr>
        <w:t xml:space="preserve">For A1-2-revised </w:t>
      </w:r>
      <w:r>
        <w:rPr>
          <w:lang w:val="en-US" w:eastAsia="zh-CN"/>
        </w:rPr>
        <w:t>CSI-RS resource</w:t>
      </w:r>
      <w:r>
        <w:rPr>
          <w:rFonts w:hint="eastAsia"/>
          <w:lang w:val="en-US" w:eastAsia="zh-CN"/>
        </w:rPr>
        <w:t>, it has the following benefits:</w:t>
      </w:r>
      <w:bookmarkEnd w:id="25"/>
      <w:bookmarkEnd w:id="26"/>
      <w:bookmarkEnd w:id="27"/>
    </w:p>
    <w:p>
      <w:pPr>
        <w:pStyle w:val="30"/>
        <w:numPr>
          <w:ilvl w:val="0"/>
          <w:numId w:val="19"/>
        </w:numPr>
        <w:spacing w:before="120" w:after="120"/>
        <w:rPr>
          <w:lang w:val="en-US" w:eastAsia="zh-CN"/>
        </w:rPr>
      </w:pPr>
      <w:bookmarkStart w:id="28" w:name="_Toc7084"/>
      <w:bookmarkStart w:id="29" w:name="_Toc30834"/>
      <w:bookmarkStart w:id="30" w:name="_Toc15972"/>
      <w:r>
        <w:rPr>
          <w:rFonts w:hint="eastAsia"/>
          <w:lang w:val="en-US" w:eastAsia="zh-CN"/>
        </w:rPr>
        <w:t>Less overhead of both RRC signaling and CSI-RS transmission</w:t>
      </w:r>
      <w:bookmarkEnd w:id="28"/>
      <w:bookmarkEnd w:id="29"/>
      <w:bookmarkEnd w:id="30"/>
    </w:p>
    <w:p>
      <w:pPr>
        <w:pStyle w:val="30"/>
        <w:numPr>
          <w:ilvl w:val="0"/>
          <w:numId w:val="19"/>
        </w:numPr>
        <w:spacing w:before="120" w:after="120"/>
        <w:rPr>
          <w:lang w:val="en-US" w:eastAsia="zh-CN"/>
        </w:rPr>
      </w:pPr>
      <w:bookmarkStart w:id="31" w:name="_Toc4334"/>
      <w:bookmarkStart w:id="32" w:name="_Toc15894"/>
      <w:bookmarkStart w:id="33" w:name="_Toc14411"/>
      <w:r>
        <w:rPr>
          <w:rFonts w:hint="eastAsia"/>
          <w:lang w:val="en-US" w:eastAsia="zh-CN"/>
        </w:rPr>
        <w:t>More network energy saving</w:t>
      </w:r>
      <w:r>
        <w:rPr>
          <w:lang w:val="en-US" w:eastAsia="zh-CN"/>
        </w:rPr>
        <w:t xml:space="preserve"> with less DL transmission</w:t>
      </w:r>
      <w:bookmarkEnd w:id="31"/>
      <w:bookmarkEnd w:id="32"/>
      <w:bookmarkEnd w:id="33"/>
    </w:p>
    <w:p>
      <w:pPr>
        <w:pStyle w:val="30"/>
        <w:numPr>
          <w:ilvl w:val="0"/>
          <w:numId w:val="19"/>
        </w:numPr>
        <w:spacing w:before="120" w:after="120"/>
        <w:rPr>
          <w:lang w:val="en-US" w:eastAsia="zh-CN"/>
        </w:rPr>
      </w:pPr>
      <w:bookmarkStart w:id="34" w:name="_Toc31597"/>
      <w:bookmarkStart w:id="35" w:name="_Toc21718"/>
      <w:bookmarkStart w:id="36" w:name="_Toc18117"/>
      <w:r>
        <w:rPr>
          <w:rFonts w:hint="eastAsia"/>
          <w:lang w:val="en-US" w:eastAsia="zh-CN"/>
        </w:rPr>
        <w:t>High correlation among multiple CSIs</w:t>
      </w:r>
      <w:bookmarkEnd w:id="34"/>
      <w:bookmarkEnd w:id="35"/>
      <w:bookmarkEnd w:id="36"/>
    </w:p>
    <w:p>
      <w:pPr>
        <w:spacing w:before="120" w:after="120"/>
      </w:pPr>
      <w:r>
        <w:t>Considering the pros and cons of these two alternatives, b</w:t>
      </w:r>
      <w:r>
        <w:rPr>
          <w:rFonts w:hint="eastAsia"/>
        </w:rPr>
        <w:t xml:space="preserve">oth configurations </w:t>
      </w:r>
      <w:r>
        <w:t>should</w:t>
      </w:r>
      <w:r>
        <w:rPr>
          <w:rFonts w:hint="eastAsia"/>
        </w:rPr>
        <w:t xml:space="preserve"> be supported</w:t>
      </w:r>
      <w:r>
        <w:t>.</w:t>
      </w:r>
      <w:r>
        <w:rPr>
          <w:rFonts w:hint="eastAsia"/>
        </w:rPr>
        <w:t xml:space="preserve"> </w:t>
      </w:r>
      <w:r>
        <w:t xml:space="preserve">Regarding </w:t>
      </w:r>
      <w:r>
        <w:rPr>
          <w:rFonts w:hint="eastAsia"/>
        </w:rPr>
        <w:t xml:space="preserve">which type of SD adaptation </w:t>
      </w:r>
      <w:r>
        <w:t xml:space="preserve">that </w:t>
      </w:r>
      <w:r>
        <w:rPr>
          <w:rFonts w:hint="eastAsia"/>
        </w:rPr>
        <w:t>A1-1-revised and A1-2-revised are applicable for</w:t>
      </w:r>
      <w:r>
        <w:t>, it</w:t>
      </w:r>
      <w:r>
        <w:rPr>
          <w:rFonts w:hint="eastAsia"/>
        </w:rPr>
        <w:t xml:space="preserve"> is an implementation issue. gNB can decide when and how to configure CSI-RS resource</w:t>
      </w:r>
      <w:r>
        <w:t>s for NES purpose</w:t>
      </w:r>
      <w:r>
        <w:rPr>
          <w:rFonts w:hint="eastAsia"/>
        </w:rPr>
        <w:t>.</w:t>
      </w:r>
      <w:r>
        <w:t xml:space="preserve"> Furthermore, it is commonly understood that the spatial</w:t>
      </w:r>
      <w:r>
        <w:rPr>
          <w:rFonts w:hint="eastAsia"/>
        </w:rPr>
        <w:t xml:space="preserve"> adaptation</w:t>
      </w:r>
      <w:r>
        <w:t xml:space="preserve"> </w:t>
      </w:r>
      <w:r>
        <w:rPr>
          <w:rFonts w:hint="eastAsia"/>
        </w:rPr>
        <w:t>type</w:t>
      </w:r>
      <w:r>
        <w:t xml:space="preserve"> will be transparent in specification. Therefore, it is suggested to confirm the main bullet in the WA without the sub-bullet.</w:t>
      </w:r>
    </w:p>
    <w:p>
      <w:pPr>
        <w:pStyle w:val="31"/>
        <w:spacing w:before="120" w:after="120"/>
        <w:rPr>
          <w:lang w:val="en-US" w:eastAsia="zh-CN"/>
        </w:rPr>
      </w:pPr>
      <w:bookmarkStart w:id="37" w:name="_Toc2378"/>
      <w:r>
        <w:rPr>
          <w:rFonts w:hint="eastAsia"/>
          <w:lang w:val="en-US" w:eastAsia="zh-CN"/>
        </w:rPr>
        <w:t>Confirm the working assumption:</w:t>
      </w:r>
      <w:bookmarkEnd w:id="37"/>
    </w:p>
    <w:p>
      <w:pPr>
        <w:pStyle w:val="31"/>
        <w:numPr>
          <w:ilvl w:val="0"/>
          <w:numId w:val="0"/>
        </w:numPr>
        <w:spacing w:before="120" w:after="120"/>
      </w:pPr>
      <w:bookmarkStart w:id="38" w:name="_Toc13823"/>
      <w:r>
        <w:t>Al-1-revised and A1-2-revised are supported</w:t>
      </w:r>
      <w:bookmarkEnd w:id="38"/>
    </w:p>
    <w:p>
      <w:pPr>
        <w:pStyle w:val="31"/>
        <w:numPr>
          <w:ilvl w:val="0"/>
          <w:numId w:val="0"/>
        </w:numPr>
        <w:spacing w:before="120" w:after="120"/>
        <w:rPr>
          <w:strike/>
          <w:lang w:val="en-US" w:eastAsia="zh-CN"/>
        </w:rPr>
      </w:pPr>
      <w:r>
        <w:rPr>
          <w:rFonts w:hint="eastAsia"/>
          <w:lang w:val="en-US" w:eastAsia="zh-CN"/>
        </w:rPr>
        <w:tab/>
      </w:r>
      <w:bookmarkStart w:id="39" w:name="_Toc26511"/>
      <w:r>
        <w:rPr>
          <w:strike/>
        </w:rPr>
        <w:t>FFS: Which Type of SD adaptation A1-1-revised and A1-2-revised are applicable for</w:t>
      </w:r>
      <w:bookmarkEnd w:id="39"/>
    </w:p>
    <w:p>
      <w:pPr>
        <w:spacing w:before="120" w:after="120"/>
        <w:rPr>
          <w:szCs w:val="21"/>
        </w:rPr>
      </w:pPr>
      <w:r>
        <w:rPr>
          <w:rFonts w:hint="eastAsia"/>
          <w:szCs w:val="21"/>
        </w:rPr>
        <w:t xml:space="preserve">In current spec, one configuration restriction is that all CSI-RS resources within one set are configured with same nrofPorts, except for the NZP CSI-RS resources used for interference measurement. For A1-2-revised, gNB only needs to configure one or more CSI-RS resource with largest number of ports. The other CSI-RS </w:t>
      </w:r>
      <w:r>
        <w:rPr>
          <w:szCs w:val="21"/>
        </w:rPr>
        <w:t xml:space="preserve">resources </w:t>
      </w:r>
      <w:r>
        <w:rPr>
          <w:rFonts w:hint="eastAsia"/>
          <w:szCs w:val="21"/>
        </w:rPr>
        <w:t xml:space="preserve">with other number of ports are subsets of the configured CSI-RS resource. Thus, the number of ports should be same and follow the current restriction. </w:t>
      </w:r>
    </w:p>
    <w:p>
      <w:pPr>
        <w:pStyle w:val="31"/>
        <w:spacing w:before="120" w:after="120"/>
        <w:rPr>
          <w:lang w:val="en-US" w:eastAsia="zh-CN"/>
        </w:rPr>
      </w:pPr>
      <w:bookmarkStart w:id="40" w:name="_Toc5507"/>
      <w:r>
        <w:rPr>
          <w:rFonts w:hint="eastAsia"/>
          <w:lang w:val="en-US" w:eastAsia="zh-CN"/>
        </w:rPr>
        <w:t>For A1-2-revised, the restriction that all CSI-RS resources within one set are configured with same nrofPorts should not be changed.</w:t>
      </w:r>
      <w:bookmarkEnd w:id="40"/>
    </w:p>
    <w:p>
      <w:pPr>
        <w:spacing w:before="120" w:after="120"/>
      </w:pPr>
    </w:p>
    <w:p>
      <w:pPr>
        <w:pStyle w:val="4"/>
        <w:numPr>
          <w:ilvl w:val="2"/>
          <w:numId w:val="10"/>
        </w:numPr>
        <w:spacing w:after="120"/>
        <w:ind w:right="210"/>
        <w:rPr>
          <w:rFonts w:ascii="Times New Roman" w:hAnsi="Times New Roman"/>
          <w:b/>
          <w:bCs/>
          <w:sz w:val="21"/>
          <w:szCs w:val="21"/>
        </w:rPr>
      </w:pPr>
      <w:r>
        <w:rPr>
          <w:rFonts w:hint="eastAsia" w:ascii="Times New Roman" w:hAnsi="Times New Roman"/>
          <w:b/>
          <w:bCs/>
          <w:sz w:val="21"/>
          <w:szCs w:val="21"/>
        </w:rPr>
        <w:t>CSI report configuration</w:t>
      </w:r>
    </w:p>
    <w:p>
      <w:pPr>
        <w:spacing w:before="120" w:after="120"/>
      </w:pPr>
      <w:r>
        <w:rPr>
          <w:rFonts w:hint="eastAsia"/>
        </w:rPr>
        <w:t xml:space="preserve">In RAN1#112bis meeting, it is agreed that </w:t>
      </w:r>
      <w:r>
        <w:t xml:space="preserve">multi-CSI in one report is supported, where </w:t>
      </w:r>
      <w:r>
        <w:rPr>
          <w:bCs/>
          <w:szCs w:val="21"/>
        </w:rPr>
        <w:t>a CSI report config</w:t>
      </w:r>
      <w:r>
        <w:rPr>
          <w:rFonts w:hint="eastAsia"/>
          <w:bCs/>
          <w:szCs w:val="21"/>
        </w:rPr>
        <w:t xml:space="preserve">uration can </w:t>
      </w:r>
      <w:r>
        <w:rPr>
          <w:bCs/>
          <w:szCs w:val="21"/>
        </w:rPr>
        <w:t xml:space="preserve">be </w:t>
      </w:r>
      <w:r>
        <w:rPr>
          <w:rFonts w:hint="eastAsia"/>
          <w:bCs/>
          <w:szCs w:val="21"/>
        </w:rPr>
        <w:t>configured</w:t>
      </w:r>
      <w:r>
        <w:rPr>
          <w:bCs/>
          <w:szCs w:val="21"/>
        </w:rPr>
        <w:t xml:space="preserve"> with </w:t>
      </w:r>
      <w:r>
        <w:rPr>
          <w:bCs/>
          <w:i/>
          <w:szCs w:val="21"/>
        </w:rPr>
        <w:t>L</w:t>
      </w:r>
      <w:r>
        <w:rPr>
          <w:bCs/>
          <w:szCs w:val="21"/>
        </w:rPr>
        <w:t xml:space="preserve"> sub-configuration(s),</w:t>
      </w:r>
      <w:r>
        <w:rPr>
          <w:rFonts w:hint="eastAsia"/>
          <w:bCs/>
          <w:szCs w:val="21"/>
        </w:rPr>
        <w:t xml:space="preserve"> and the </w:t>
      </w:r>
      <w:r>
        <w:rPr>
          <w:bCs/>
          <w:szCs w:val="21"/>
        </w:rPr>
        <w:t xml:space="preserve">parameters in </w:t>
      </w:r>
      <w:r>
        <w:rPr>
          <w:rFonts w:hint="eastAsia"/>
          <w:bCs/>
          <w:szCs w:val="21"/>
        </w:rPr>
        <w:t xml:space="preserve">sub-configuration </w:t>
      </w:r>
      <w:r>
        <w:rPr>
          <w:bCs/>
          <w:szCs w:val="21"/>
        </w:rPr>
        <w:t>is as</w:t>
      </w:r>
      <w:r>
        <w:rPr>
          <w:rFonts w:hint="eastAsia"/>
          <w:bCs/>
          <w:szCs w:val="21"/>
        </w:rPr>
        <w:t xml:space="preserve"> the following.</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spacing w:before="120" w:after="120"/>
              <w:rPr>
                <w:bCs/>
                <w:szCs w:val="21"/>
              </w:rPr>
            </w:pPr>
            <w:r>
              <w:rPr>
                <w:bCs/>
                <w:szCs w:val="21"/>
                <w:highlight w:val="green"/>
              </w:rPr>
              <w:t>Agreement</w:t>
            </w:r>
            <w:r>
              <w:rPr>
                <w:bCs/>
                <w:szCs w:val="21"/>
              </w:rPr>
              <w:t xml:space="preserve"> </w:t>
            </w:r>
          </w:p>
          <w:p>
            <w:pPr>
              <w:spacing w:before="120" w:after="120"/>
              <w:rPr>
                <w:bCs/>
                <w:szCs w:val="21"/>
              </w:rPr>
            </w:pPr>
            <w:r>
              <w:rPr>
                <w:bCs/>
                <w:szCs w:val="21"/>
              </w:rPr>
              <w:t xml:space="preserve">For a CSI report config with </w:t>
            </w:r>
            <w:r>
              <w:rPr>
                <w:bCs/>
                <w:i/>
                <w:szCs w:val="21"/>
              </w:rPr>
              <w:t>L</w:t>
            </w:r>
            <w:r>
              <w:rPr>
                <w:bCs/>
                <w:szCs w:val="21"/>
              </w:rPr>
              <w:t xml:space="preserve"> sub-configuration(s), support a framework that enables a UE to report </w:t>
            </w:r>
            <w:r>
              <w:rPr>
                <w:bCs/>
                <w:i/>
                <w:szCs w:val="21"/>
              </w:rPr>
              <w:t>N</w:t>
            </w:r>
            <w:r>
              <w:rPr>
                <w:bCs/>
                <w:szCs w:val="21"/>
              </w:rPr>
              <w:t xml:space="preserve"> CSI(s) in one reporting instance where the </w:t>
            </w:r>
            <w:r>
              <w:rPr>
                <w:bCs/>
                <w:i/>
                <w:szCs w:val="21"/>
              </w:rPr>
              <w:t>N</w:t>
            </w:r>
            <w:r>
              <w:rPr>
                <w:bCs/>
                <w:szCs w:val="21"/>
              </w:rPr>
              <w:t xml:space="preserve"> CSI(s) are associated with </w:t>
            </w:r>
            <w:r>
              <w:rPr>
                <w:bCs/>
                <w:i/>
                <w:szCs w:val="21"/>
              </w:rPr>
              <w:t>N</w:t>
            </w:r>
            <w:r>
              <w:rPr>
                <w:bCs/>
                <w:szCs w:val="21"/>
              </w:rPr>
              <w:t xml:space="preserve"> sub-configuration(s) from </w:t>
            </w:r>
            <w:r>
              <w:rPr>
                <w:bCs/>
                <w:i/>
                <w:szCs w:val="21"/>
              </w:rPr>
              <w:t>L</w:t>
            </w:r>
            <w:r>
              <w:rPr>
                <w:bCs/>
                <w:szCs w:val="21"/>
              </w:rPr>
              <w:t xml:space="preserve"> (where </w:t>
            </w:r>
            <m:oMath>
              <m:r>
                <m:rPr>
                  <m:sty m:val="p"/>
                </m:rPr>
                <w:rPr>
                  <w:rFonts w:ascii="Cambria Math" w:hAnsi="Cambria Math"/>
                  <w:szCs w:val="21"/>
                </w:rPr>
                <m:t>1≤</m:t>
              </m:r>
              <m:r>
                <w:rPr>
                  <w:rFonts w:ascii="Cambria Math" w:hAnsi="Cambria Math"/>
                  <w:szCs w:val="21"/>
                </w:rPr>
                <m:t>N</m:t>
              </m:r>
              <m:r>
                <m:rPr>
                  <m:sty m:val="p"/>
                </m:rPr>
                <w:rPr>
                  <w:rFonts w:ascii="Cambria Math" w:hAnsi="Cambria Math"/>
                  <w:szCs w:val="21"/>
                </w:rPr>
                <m:t>≤</m:t>
              </m:r>
              <m:r>
                <w:rPr>
                  <w:rFonts w:ascii="Cambria Math" w:hAnsi="Cambria Math"/>
                  <w:szCs w:val="21"/>
                </w:rPr>
                <m:t>L</m:t>
              </m:r>
            </m:oMath>
            <w:r>
              <w:rPr>
                <w:bCs/>
                <w:szCs w:val="21"/>
              </w:rPr>
              <w:t>) and each CSI corresponds to one sub-configuration.</w:t>
            </w:r>
          </w:p>
          <w:p>
            <w:pPr>
              <w:pStyle w:val="37"/>
              <w:numPr>
                <w:ilvl w:val="0"/>
                <w:numId w:val="14"/>
              </w:numPr>
              <w:spacing w:after="120"/>
              <w:ind w:hanging="357"/>
              <w:rPr>
                <w:sz w:val="21"/>
                <w:szCs w:val="21"/>
              </w:rPr>
            </w:pPr>
            <w:r>
              <w:rPr>
                <w:sz w:val="21"/>
                <w:szCs w:val="21"/>
              </w:rPr>
              <w:t>For discussion purpose, N=1 refers to single-CSI while N&gt;1 refers to multi-CSI.</w:t>
            </w:r>
          </w:p>
          <w:p>
            <w:pPr>
              <w:numPr>
                <w:ilvl w:val="0"/>
                <w:numId w:val="15"/>
              </w:numPr>
              <w:spacing w:before="120" w:after="120"/>
              <w:rPr>
                <w:bCs/>
                <w:szCs w:val="21"/>
              </w:rPr>
            </w:pPr>
            <w:r>
              <w:rPr>
                <w:bCs/>
                <w:szCs w:val="21"/>
              </w:rPr>
              <w:t>For Semi-persistent/Aperiodic CSI reporting, support gNB trigger/indicate/activate report of N≤L CSIs where N&gt;=1</w:t>
            </w:r>
          </w:p>
          <w:p>
            <w:pPr>
              <w:numPr>
                <w:ilvl w:val="0"/>
                <w:numId w:val="15"/>
              </w:numPr>
              <w:spacing w:before="120" w:after="120"/>
              <w:rPr>
                <w:bCs/>
                <w:szCs w:val="21"/>
              </w:rPr>
            </w:pPr>
            <w:r>
              <w:rPr>
                <w:bCs/>
                <w:szCs w:val="21"/>
              </w:rPr>
              <w:t>The maximum value of N and L are subject to UE capability</w:t>
            </w:r>
          </w:p>
          <w:p>
            <w:pPr>
              <w:numPr>
                <w:ilvl w:val="0"/>
                <w:numId w:val="15"/>
              </w:numPr>
              <w:spacing w:before="120" w:after="120"/>
              <w:rPr>
                <w:bCs/>
                <w:szCs w:val="21"/>
              </w:rPr>
            </w:pPr>
            <w:r>
              <w:rPr>
                <w:bCs/>
                <w:szCs w:val="21"/>
              </w:rPr>
              <w:t>Further study how to address/minimize additional UE complexity</w:t>
            </w:r>
          </w:p>
          <w:p>
            <w:pPr>
              <w:spacing w:before="120" w:after="120"/>
              <w:rPr>
                <w:bCs/>
                <w:szCs w:val="21"/>
              </w:rPr>
            </w:pPr>
            <w:r>
              <w:rPr>
                <w:bCs/>
                <w:szCs w:val="21"/>
              </w:rPr>
              <w:t>The following bullet was objected by not agreed due to objection from Apple and vivo</w:t>
            </w:r>
          </w:p>
          <w:p>
            <w:pPr>
              <w:numPr>
                <w:ilvl w:val="0"/>
                <w:numId w:val="16"/>
              </w:numPr>
              <w:spacing w:before="120" w:after="120"/>
              <w:rPr>
                <w:bCs/>
                <w:szCs w:val="21"/>
              </w:rPr>
            </w:pPr>
            <w:r>
              <w:rPr>
                <w:bCs/>
                <w:szCs w:val="21"/>
              </w:rPr>
              <w:t>For Periodic CSI reporting, at least the case of N=L is supported where N&gt;=1</w:t>
            </w:r>
          </w:p>
          <w:p>
            <w:pPr>
              <w:spacing w:before="120" w:after="120"/>
              <w:rPr>
                <w:szCs w:val="21"/>
                <w:highlight w:val="green"/>
              </w:rPr>
            </w:pPr>
          </w:p>
          <w:p>
            <w:pPr>
              <w:spacing w:before="120" w:after="120"/>
              <w:rPr>
                <w:szCs w:val="21"/>
                <w:highlight w:val="green"/>
              </w:rPr>
            </w:pPr>
            <w:r>
              <w:rPr>
                <w:szCs w:val="21"/>
                <w:highlight w:val="green"/>
              </w:rPr>
              <w:t>Agreement</w:t>
            </w:r>
          </w:p>
          <w:p>
            <w:pPr>
              <w:spacing w:before="120" w:after="120"/>
              <w:rPr>
                <w:szCs w:val="21"/>
              </w:rPr>
            </w:pPr>
            <w:r>
              <w:rPr>
                <w:szCs w:val="21"/>
              </w:rPr>
              <w:t>For CSI report configuration, if L&gt;1 in a CSI report configuration, at least the following can be included for each sub-configuration for Type 1 SD adaptation</w:t>
            </w:r>
          </w:p>
          <w:p>
            <w:pPr>
              <w:numPr>
                <w:ilvl w:val="0"/>
                <w:numId w:val="13"/>
              </w:numPr>
              <w:spacing w:before="120" w:after="120"/>
              <w:contextualSpacing/>
              <w:rPr>
                <w:rFonts w:eastAsia="MS Mincho"/>
                <w:szCs w:val="21"/>
                <w:lang w:eastAsia="ja-JP"/>
              </w:rPr>
            </w:pPr>
            <w:r>
              <w:rPr>
                <w:rFonts w:eastAsia="MS Mincho"/>
                <w:szCs w:val="21"/>
                <w:lang w:eastAsia="ja-JP"/>
              </w:rPr>
              <w:t>N1, N2 for single-panel and N1, N2, Ng for multi-panel</w:t>
            </w:r>
          </w:p>
          <w:p>
            <w:pPr>
              <w:numPr>
                <w:ilvl w:val="1"/>
                <w:numId w:val="13"/>
              </w:numPr>
              <w:spacing w:before="120" w:after="120"/>
              <w:contextualSpacing/>
              <w:rPr>
                <w:szCs w:val="21"/>
              </w:rPr>
            </w:pPr>
            <w:r>
              <w:rPr>
                <w:szCs w:val="21"/>
              </w:rPr>
              <w:t>FFS: details on explicit indication or implicit derivation</w:t>
            </w:r>
          </w:p>
          <w:p>
            <w:pPr>
              <w:numPr>
                <w:ilvl w:val="0"/>
                <w:numId w:val="13"/>
              </w:numPr>
              <w:spacing w:before="120" w:after="120"/>
              <w:contextualSpacing/>
              <w:rPr>
                <w:rFonts w:eastAsia="MS Mincho"/>
                <w:szCs w:val="21"/>
                <w:lang w:eastAsia="ja-JP"/>
              </w:rPr>
            </w:pPr>
            <w:r>
              <w:rPr>
                <w:rFonts w:eastAsia="MS Mincho"/>
                <w:szCs w:val="21"/>
                <w:lang w:eastAsia="ja-JP"/>
              </w:rPr>
              <w:t>Port subset indication when A1-2 is used (if A1-2 is supported)</w:t>
            </w:r>
          </w:p>
          <w:p>
            <w:pPr>
              <w:numPr>
                <w:ilvl w:val="1"/>
                <w:numId w:val="13"/>
              </w:numPr>
              <w:spacing w:before="120" w:after="120"/>
              <w:contextualSpacing/>
              <w:rPr>
                <w:rFonts w:eastAsia="MS Mincho"/>
                <w:szCs w:val="21"/>
                <w:lang w:eastAsia="ja-JP"/>
              </w:rPr>
            </w:pPr>
            <w:r>
              <w:rPr>
                <w:szCs w:val="21"/>
              </w:rPr>
              <w:t xml:space="preserve">FFS: </w:t>
            </w:r>
            <w:r>
              <w:rPr>
                <w:rFonts w:eastAsia="MS Mincho"/>
                <w:szCs w:val="21"/>
                <w:lang w:eastAsia="ja-JP"/>
              </w:rPr>
              <w:t>details on explicit indication or implicit derivation</w:t>
            </w:r>
          </w:p>
          <w:p>
            <w:pPr>
              <w:numPr>
                <w:ilvl w:val="0"/>
                <w:numId w:val="13"/>
              </w:numPr>
              <w:spacing w:before="120" w:after="120"/>
              <w:contextualSpacing/>
              <w:rPr>
                <w:rFonts w:eastAsia="MS Mincho"/>
                <w:szCs w:val="21"/>
                <w:lang w:eastAsia="ja-JP"/>
              </w:rPr>
            </w:pPr>
            <w:r>
              <w:rPr>
                <w:rFonts w:eastAsia="MS Mincho"/>
                <w:szCs w:val="21"/>
                <w:lang w:eastAsia="ja-JP"/>
              </w:rPr>
              <w:t>FFS: rank restriction</w:t>
            </w:r>
          </w:p>
          <w:p>
            <w:pPr>
              <w:numPr>
                <w:ilvl w:val="0"/>
                <w:numId w:val="13"/>
              </w:numPr>
              <w:spacing w:before="120" w:after="120"/>
              <w:contextualSpacing/>
              <w:rPr>
                <w:rFonts w:eastAsia="MS Mincho"/>
                <w:szCs w:val="21"/>
                <w:lang w:eastAsia="ja-JP"/>
              </w:rPr>
            </w:pPr>
            <w:r>
              <w:rPr>
                <w:rFonts w:eastAsia="MS Mincho"/>
                <w:szCs w:val="21"/>
                <w:lang w:eastAsia="ja-JP"/>
              </w:rPr>
              <w:t>FFS: codebook subset restriction</w:t>
            </w:r>
          </w:p>
          <w:p>
            <w:pPr>
              <w:numPr>
                <w:ilvl w:val="0"/>
                <w:numId w:val="13"/>
              </w:numPr>
              <w:spacing w:before="120" w:after="120"/>
              <w:contextualSpacing/>
              <w:rPr>
                <w:rFonts w:eastAsia="MS Mincho"/>
                <w:szCs w:val="21"/>
                <w:lang w:eastAsia="ja-JP"/>
              </w:rPr>
            </w:pPr>
            <w:r>
              <w:rPr>
                <w:rFonts w:eastAsia="MS Mincho"/>
                <w:szCs w:val="21"/>
                <w:lang w:eastAsia="ja-JP"/>
              </w:rPr>
              <w:t>FFS: supported codebook types for PMI, e.g., Type-I or Type-II</w:t>
            </w:r>
          </w:p>
          <w:p>
            <w:pPr>
              <w:numPr>
                <w:ilvl w:val="0"/>
                <w:numId w:val="13"/>
              </w:numPr>
              <w:spacing w:before="120" w:after="120"/>
              <w:contextualSpacing/>
              <w:rPr>
                <w:rFonts w:eastAsia="MS Mincho"/>
                <w:szCs w:val="21"/>
                <w:lang w:eastAsia="ja-JP"/>
              </w:rPr>
            </w:pPr>
            <w:r>
              <w:rPr>
                <w:rFonts w:eastAsia="MS Mincho"/>
                <w:szCs w:val="21"/>
                <w:lang w:eastAsia="ja-JP"/>
              </w:rPr>
              <w:t>FFS: report quantity</w:t>
            </w:r>
          </w:p>
          <w:p>
            <w:pPr>
              <w:numPr>
                <w:ilvl w:val="0"/>
                <w:numId w:val="13"/>
              </w:numPr>
              <w:spacing w:before="120" w:after="120"/>
              <w:contextualSpacing/>
              <w:rPr>
                <w:rFonts w:eastAsia="MS Mincho"/>
                <w:szCs w:val="21"/>
                <w:lang w:eastAsia="ja-JP"/>
              </w:rPr>
            </w:pPr>
            <w:r>
              <w:rPr>
                <w:szCs w:val="21"/>
              </w:rPr>
              <w:t>FFS: reportFreqConfiguration</w:t>
            </w:r>
          </w:p>
          <w:p>
            <w:pPr>
              <w:numPr>
                <w:ilvl w:val="0"/>
                <w:numId w:val="13"/>
              </w:numPr>
              <w:spacing w:before="120" w:after="120"/>
              <w:contextualSpacing/>
              <w:rPr>
                <w:rFonts w:eastAsia="MS Mincho"/>
                <w:szCs w:val="21"/>
                <w:lang w:eastAsia="ja-JP"/>
              </w:rPr>
            </w:pPr>
            <w:r>
              <w:rPr>
                <w:rFonts w:eastAsia="MS Mincho"/>
                <w:szCs w:val="21"/>
                <w:lang w:eastAsia="ja-JP"/>
              </w:rPr>
              <w:t>FFS: Group identity of NZP CSI-RS resource(s) in a resource set for channel measurement when A1-1 is used</w:t>
            </w:r>
          </w:p>
          <w:p>
            <w:pPr>
              <w:spacing w:before="120" w:after="120"/>
              <w:rPr>
                <w:b/>
                <w:bCs/>
                <w:szCs w:val="21"/>
              </w:rPr>
            </w:pPr>
            <w:r>
              <w:rPr>
                <w:szCs w:val="21"/>
              </w:rPr>
              <w:t xml:space="preserve">For CSI report configuration for </w:t>
            </w:r>
            <w:r>
              <w:rPr>
                <w:rFonts w:eastAsia="MS Mincho"/>
                <w:szCs w:val="21"/>
                <w:lang w:eastAsia="ja-JP"/>
              </w:rPr>
              <w:t>type 2 SD adaptation</w:t>
            </w:r>
            <w:r>
              <w:rPr>
                <w:szCs w:val="21"/>
              </w:rPr>
              <w:t xml:space="preserve">, </w:t>
            </w:r>
            <w:r>
              <w:rPr>
                <w:rFonts w:eastAsia="MS Mincho"/>
                <w:szCs w:val="21"/>
                <w:lang w:eastAsia="ja-JP"/>
              </w:rPr>
              <w:t>further study under which cases sub-configurations may or may not be needed including sub-configuration content.</w:t>
            </w:r>
          </w:p>
        </w:tc>
      </w:tr>
    </w:tbl>
    <w:p>
      <w:pPr>
        <w:spacing w:before="120" w:after="120"/>
        <w:rPr>
          <w:b/>
          <w:bCs/>
          <w:szCs w:val="21"/>
        </w:rPr>
      </w:pPr>
    </w:p>
    <w:p>
      <w:pPr>
        <w:numPr>
          <w:ilvl w:val="0"/>
          <w:numId w:val="20"/>
        </w:numPr>
        <w:spacing w:before="120" w:after="120"/>
        <w:rPr>
          <w:b/>
          <w:bCs/>
          <w:szCs w:val="21"/>
        </w:rPr>
      </w:pPr>
      <w:r>
        <w:rPr>
          <w:rFonts w:hint="eastAsia"/>
          <w:b/>
          <w:bCs/>
          <w:szCs w:val="21"/>
        </w:rPr>
        <w:t>Type 1 spatial adaptation</w:t>
      </w:r>
    </w:p>
    <w:p>
      <w:pPr>
        <w:spacing w:before="120" w:after="120"/>
      </w:pPr>
      <w:r>
        <w:rPr>
          <w:rFonts w:hint="eastAsia"/>
        </w:rPr>
        <w:t>For type 1 spatial adaptation, A1-2-revised is preferred.</w:t>
      </w:r>
      <w:r>
        <w:t xml:space="preserve"> In this case,</w:t>
      </w:r>
      <w:r>
        <w:rPr>
          <w:rFonts w:hint="eastAsia"/>
        </w:rPr>
        <w:t xml:space="preserve"> gNB configure</w:t>
      </w:r>
      <w:r>
        <w:t>s common</w:t>
      </w:r>
      <w:r>
        <w:rPr>
          <w:rFonts w:hint="eastAsia"/>
        </w:rPr>
        <w:t xml:space="preserve"> CSI-RS resource(s) with </w:t>
      </w:r>
      <w:r>
        <w:t xml:space="preserve">the </w:t>
      </w:r>
      <w:r>
        <w:rPr>
          <w:rFonts w:hint="eastAsia"/>
        </w:rPr>
        <w:t xml:space="preserve">largest number of ports, UE uses all of or subset of the ports for </w:t>
      </w:r>
      <w:r>
        <w:t>multi-</w:t>
      </w:r>
      <w:r>
        <w:rPr>
          <w:rFonts w:hint="eastAsia"/>
        </w:rPr>
        <w:t>CSI measurement</w:t>
      </w:r>
      <w:r>
        <w:t xml:space="preserve"> and report</w:t>
      </w:r>
      <w:r>
        <w:rPr>
          <w:rFonts w:hint="eastAsia"/>
        </w:rPr>
        <w:t xml:space="preserve">. To determine which subset of ports </w:t>
      </w:r>
      <w:r>
        <w:t>is</w:t>
      </w:r>
      <w:r>
        <w:rPr>
          <w:rFonts w:hint="eastAsia"/>
        </w:rPr>
        <w:t xml:space="preserve"> used, </w:t>
      </w:r>
      <w:r>
        <w:t xml:space="preserve">how the </w:t>
      </w:r>
      <w:r>
        <w:rPr>
          <w:rFonts w:hint="eastAsia"/>
        </w:rPr>
        <w:t xml:space="preserve">port subset </w:t>
      </w:r>
      <w:r>
        <w:t xml:space="preserve">is </w:t>
      </w:r>
      <w:r>
        <w:rPr>
          <w:rFonts w:hint="eastAsia"/>
        </w:rPr>
        <w:t>indicat</w:t>
      </w:r>
      <w:r>
        <w:t>ed</w:t>
      </w:r>
      <w:r>
        <w:rPr>
          <w:rFonts w:hint="eastAsia"/>
        </w:rPr>
        <w:t xml:space="preserve"> should be </w:t>
      </w:r>
      <w:r>
        <w:t>discussed</w:t>
      </w:r>
      <w:r>
        <w:rPr>
          <w:rFonts w:hint="eastAsia"/>
        </w:rPr>
        <w:t>.</w:t>
      </w:r>
    </w:p>
    <w:p>
      <w:pPr>
        <w:spacing w:before="120" w:after="120"/>
      </w:pPr>
      <w:r>
        <w:rPr>
          <w:rFonts w:hint="eastAsia"/>
        </w:rPr>
        <w:t xml:space="preserve">For port subset indication, it should be discussed whether it is explicitly indicated or implicitly derived. Explicit indication means a signaling </w:t>
      </w:r>
      <w:r>
        <w:t xml:space="preserve">(e.g., a bitmap) </w:t>
      </w:r>
      <w:r>
        <w:rPr>
          <w:rFonts w:hint="eastAsia"/>
        </w:rPr>
        <w:t>is used to indicate which ports</w:t>
      </w:r>
      <w:r>
        <w:t xml:space="preserve"> (via a </w:t>
      </w:r>
      <w:r>
        <w:rPr>
          <w:rFonts w:hint="eastAsia"/>
        </w:rPr>
        <w:t>port subset indication</w:t>
      </w:r>
      <w:r>
        <w:t>)</w:t>
      </w:r>
      <w:r>
        <w:rPr>
          <w:rFonts w:hint="eastAsia"/>
        </w:rPr>
        <w:t xml:space="preserve"> are used for CSI measurement</w:t>
      </w:r>
      <w:r>
        <w:t>.</w:t>
      </w:r>
      <w:r>
        <w:rPr>
          <w:rFonts w:hint="eastAsia"/>
        </w:rPr>
        <w:t xml:space="preserve"> </w:t>
      </w:r>
      <w:r>
        <w:t xml:space="preserve">The explicit indication </w:t>
      </w:r>
      <w:r>
        <w:rPr>
          <w:rFonts w:hint="eastAsia"/>
        </w:rPr>
        <w:t xml:space="preserve">is clear and </w:t>
      </w:r>
      <w:r>
        <w:t>straightforward</w:t>
      </w:r>
      <w:r>
        <w:rPr>
          <w:rFonts w:hint="eastAsia"/>
        </w:rPr>
        <w:t>. Th</w:t>
      </w:r>
      <w:r>
        <w:t>is kind of</w:t>
      </w:r>
      <w:r>
        <w:rPr>
          <w:rFonts w:hint="eastAsia"/>
        </w:rPr>
        <w:t xml:space="preserve"> port subset selection </w:t>
      </w:r>
      <w:r>
        <w:t>is</w:t>
      </w:r>
      <w:r>
        <w:rPr>
          <w:rFonts w:hint="eastAsia"/>
        </w:rPr>
        <w:t xml:space="preserve"> </w:t>
      </w:r>
      <w:r>
        <w:t>also</w:t>
      </w:r>
      <w:r>
        <w:rPr>
          <w:rFonts w:hint="eastAsia"/>
        </w:rPr>
        <w:t xml:space="preserve"> flexible</w:t>
      </w:r>
      <w:r>
        <w:t>, which is friendly to gNB implementation</w:t>
      </w:r>
      <w:r>
        <w:rPr>
          <w:rFonts w:hint="eastAsia"/>
        </w:rPr>
        <w:t>. Implicit deriv</w:t>
      </w:r>
      <w:r>
        <w:t>ation</w:t>
      </w:r>
      <w:r>
        <w:rPr>
          <w:rFonts w:hint="eastAsia"/>
        </w:rPr>
        <w:t xml:space="preserve"> means the port subset are derived according to a </w:t>
      </w:r>
      <w:r>
        <w:t xml:space="preserve">predefined rule </w:t>
      </w:r>
      <w:r>
        <w:rPr>
          <w:rFonts w:hint="eastAsia"/>
        </w:rPr>
        <w:t>(e.g., the first X ports). Thus, the</w:t>
      </w:r>
      <w:r>
        <w:t xml:space="preserve"> port selection</w:t>
      </w:r>
      <w:r>
        <w:rPr>
          <w:rFonts w:hint="eastAsia"/>
        </w:rPr>
        <w:t xml:space="preserve"> flexib</w:t>
      </w:r>
      <w:r>
        <w:t>i</w:t>
      </w:r>
      <w:r>
        <w:rPr>
          <w:rFonts w:hint="eastAsia"/>
        </w:rPr>
        <w:t>l</w:t>
      </w:r>
      <w:r>
        <w:t>ity</w:t>
      </w:r>
      <w:r>
        <w:rPr>
          <w:rFonts w:hint="eastAsia"/>
        </w:rPr>
        <w:t xml:space="preserve"> is low.</w:t>
      </w:r>
      <w:r>
        <w:t xml:space="preserve"> It is also noticed that precoding matrix design in TS 38.214 has some implications in the mapping order of port index, like first in one polarization then in the other polarization. However, other details, it is an implementation gNB issue. Therefore, it will be complicated to design a proper implicit indication method that is applicable for different gNB implementations and different combinations of (N1, N2).</w:t>
      </w:r>
    </w:p>
    <w:p>
      <w:pPr>
        <w:pStyle w:val="30"/>
        <w:spacing w:before="120" w:after="120"/>
        <w:rPr>
          <w:lang w:val="en-US" w:eastAsia="zh-CN"/>
        </w:rPr>
      </w:pPr>
      <w:bookmarkStart w:id="41" w:name="_Toc13596"/>
      <w:bookmarkStart w:id="42" w:name="_Toc11920"/>
      <w:bookmarkStart w:id="43" w:name="_Toc1763"/>
      <w:r>
        <w:rPr>
          <w:rFonts w:hint="eastAsia"/>
          <w:lang w:val="en-US" w:eastAsia="zh-CN"/>
        </w:rPr>
        <w:t>For port subset indication, compared with implicit derivation, explicit indication has</w:t>
      </w:r>
      <w:r>
        <w:rPr>
          <w:lang w:val="en-US" w:eastAsia="zh-CN"/>
        </w:rPr>
        <w:t xml:space="preserve"> </w:t>
      </w:r>
      <w:r>
        <w:rPr>
          <w:rFonts w:hint="eastAsia"/>
          <w:lang w:val="en-US" w:eastAsia="zh-CN"/>
        </w:rPr>
        <w:t>higher flexibility</w:t>
      </w:r>
      <w:r>
        <w:rPr>
          <w:lang w:val="en-US" w:eastAsia="zh-CN"/>
        </w:rPr>
        <w:t xml:space="preserve"> and better applicability to different gNB implementation of port mapping and different combination</w:t>
      </w:r>
      <w:r>
        <w:rPr>
          <w:rFonts w:hint="eastAsia"/>
          <w:lang w:val="en-US" w:eastAsia="zh-CN"/>
        </w:rPr>
        <w:t>s</w:t>
      </w:r>
      <w:r>
        <w:rPr>
          <w:lang w:val="en-US" w:eastAsia="zh-CN"/>
        </w:rPr>
        <w:t xml:space="preserve"> of (N1, </w:t>
      </w:r>
      <w:r>
        <w:rPr>
          <w:rFonts w:hint="eastAsia"/>
          <w:lang w:val="en-US" w:eastAsia="zh-CN"/>
        </w:rPr>
        <w:t>N2</w:t>
      </w:r>
      <w:r>
        <w:rPr>
          <w:lang w:val="en-US" w:eastAsia="zh-CN"/>
        </w:rPr>
        <w:t>)</w:t>
      </w:r>
      <w:r>
        <w:rPr>
          <w:rFonts w:hint="eastAsia"/>
          <w:lang w:val="en-US" w:eastAsia="zh-CN"/>
        </w:rPr>
        <w:t>.</w:t>
      </w:r>
      <w:bookmarkEnd w:id="41"/>
      <w:bookmarkEnd w:id="42"/>
      <w:bookmarkEnd w:id="43"/>
    </w:p>
    <w:p>
      <w:pPr>
        <w:pStyle w:val="31"/>
        <w:spacing w:before="120" w:after="120"/>
        <w:rPr>
          <w:lang w:val="en-US" w:eastAsia="zh-CN"/>
        </w:rPr>
      </w:pPr>
      <w:bookmarkStart w:id="44" w:name="_Toc18091"/>
      <w:r>
        <w:rPr>
          <w:lang w:val="en-US" w:eastAsia="zh-CN"/>
        </w:rPr>
        <w:t xml:space="preserve">For CSI report configuration, if L&gt;1 in a CSI report configuration, </w:t>
      </w:r>
      <w:r>
        <w:rPr>
          <w:rFonts w:hint="eastAsia"/>
          <w:lang w:val="en-US" w:eastAsia="zh-CN"/>
        </w:rPr>
        <w:t>port subset indication</w:t>
      </w:r>
      <w:r>
        <w:rPr>
          <w:rFonts w:hint="eastAsia"/>
        </w:rPr>
        <w:t xml:space="preserve"> </w:t>
      </w:r>
      <w:r>
        <w:t xml:space="preserve">(e.g., a bitmap) </w:t>
      </w:r>
      <w:r>
        <w:rPr>
          <w:lang w:val="en-US" w:eastAsia="zh-CN"/>
        </w:rPr>
        <w:t>is explicitly included in each sub-configuration for Type 1 SD adaptation</w:t>
      </w:r>
      <w:r>
        <w:rPr>
          <w:rFonts w:hint="eastAsia"/>
          <w:lang w:val="en-US" w:eastAsia="zh-CN"/>
        </w:rPr>
        <w:t>.</w:t>
      </w:r>
      <w:bookmarkEnd w:id="44"/>
    </w:p>
    <w:p>
      <w:pPr>
        <w:spacing w:before="120" w:after="120"/>
      </w:pPr>
      <w:r>
        <w:rPr>
          <w:rFonts w:hint="eastAsia"/>
        </w:rPr>
        <w:t>To explicitly indicate port subset, a bitmap can be used. For example, 32 bits are used</w:t>
      </w:r>
      <w:r>
        <w:t xml:space="preserve"> for </w:t>
      </w:r>
      <w:r>
        <w:rPr>
          <w:rFonts w:hint="eastAsia"/>
        </w:rPr>
        <w:t>a</w:t>
      </w:r>
      <w:r>
        <w:t xml:space="preserve"> maximum number of </w:t>
      </w:r>
      <w:r>
        <w:rPr>
          <w:rFonts w:hint="eastAsia"/>
        </w:rPr>
        <w:t>32</w:t>
      </w:r>
      <w:r>
        <w:t xml:space="preserve"> CSI-RS ports</w:t>
      </w:r>
      <w:r>
        <w:rPr>
          <w:rFonts w:hint="eastAsia"/>
        </w:rPr>
        <w:t>, and each bit corresponds to one port.</w:t>
      </w:r>
    </w:p>
    <w:p>
      <w:pPr>
        <w:spacing w:before="120" w:after="120"/>
      </w:pPr>
      <w:r>
        <w:rPr>
          <w:rFonts w:hint="eastAsia"/>
        </w:rPr>
        <w:t xml:space="preserve">One thing should be noted is that the two ports which are in same position </w:t>
      </w:r>
      <w:r>
        <w:t>but</w:t>
      </w:r>
      <w:r>
        <w:rPr>
          <w:rFonts w:hint="eastAsia"/>
        </w:rPr>
        <w:t xml:space="preserve"> different polarization directions should be selected </w:t>
      </w:r>
      <w:r>
        <w:t>simultaneously</w:t>
      </w:r>
      <w:r>
        <w:rPr>
          <w:rFonts w:hint="eastAsia"/>
        </w:rPr>
        <w:t xml:space="preserve">. </w:t>
      </w:r>
      <w:r>
        <w:t xml:space="preserve">Otherwise, </w:t>
      </w:r>
      <w:r>
        <w:rPr>
          <w:rFonts w:hint="eastAsia"/>
        </w:rPr>
        <w:t xml:space="preserve">the system performance will be severely affected. </w:t>
      </w:r>
    </w:p>
    <w:p>
      <w:pPr>
        <w:spacing w:before="120" w:after="120"/>
        <w:jc w:val="center"/>
      </w:pPr>
      <w:r>
        <w:drawing>
          <wp:inline distT="0" distB="0" distL="114300" distR="114300">
            <wp:extent cx="2660650" cy="1510030"/>
            <wp:effectExtent l="0" t="0" r="6350" b="13970"/>
            <wp:docPr id="7"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52"/>
                    <pic:cNvPicPr>
                      <a:picLocks noChangeAspect="1"/>
                    </pic:cNvPicPr>
                  </pic:nvPicPr>
                  <pic:blipFill>
                    <a:blip r:embed="rId11"/>
                    <a:stretch>
                      <a:fillRect/>
                    </a:stretch>
                  </pic:blipFill>
                  <pic:spPr>
                    <a:xfrm>
                      <a:off x="0" y="0"/>
                      <a:ext cx="2660650" cy="1510030"/>
                    </a:xfrm>
                    <a:prstGeom prst="rect">
                      <a:avLst/>
                    </a:prstGeom>
                    <a:noFill/>
                    <a:ln>
                      <a:noFill/>
                    </a:ln>
                  </pic:spPr>
                </pic:pic>
              </a:graphicData>
            </a:graphic>
          </wp:inline>
        </w:drawing>
      </w:r>
    </w:p>
    <w:p>
      <w:pPr>
        <w:pStyle w:val="59"/>
        <w:spacing w:before="120" w:after="120"/>
        <w:rPr>
          <w:rFonts w:hint="default"/>
        </w:rPr>
      </w:pPr>
      <w:r>
        <w:t>Dual polarized antenna</w:t>
      </w:r>
    </w:p>
    <w:p>
      <w:pPr>
        <w:spacing w:before="120" w:after="120"/>
      </w:pPr>
      <w:r>
        <w:rPr>
          <w:rFonts w:hint="eastAsia"/>
        </w:rPr>
        <w:t xml:space="preserve">To ensure that the two ports with different polarization directions are selected </w:t>
      </w:r>
      <w:r>
        <w:t>at the same time</w:t>
      </w:r>
      <w:r>
        <w:rPr>
          <w:rFonts w:hint="eastAsia"/>
        </w:rPr>
        <w:t xml:space="preserve">, </w:t>
      </w:r>
      <w:r>
        <w:t>each bit in the</w:t>
      </w:r>
      <w:r>
        <w:rPr>
          <w:rFonts w:hint="eastAsia"/>
        </w:rPr>
        <w:t xml:space="preserve"> bitmap </w:t>
      </w:r>
      <w:r>
        <w:t>can be used to</w:t>
      </w:r>
      <w:r>
        <w:rPr>
          <w:rFonts w:hint="eastAsia"/>
        </w:rPr>
        <w:t xml:space="preserve"> indicate </w:t>
      </w:r>
      <w:r>
        <w:t>dual</w:t>
      </w:r>
      <w:r>
        <w:rPr>
          <w:rFonts w:hint="eastAsia"/>
        </w:rPr>
        <w:t xml:space="preserve"> polarization </w:t>
      </w:r>
      <w:r>
        <w:t>directions</w:t>
      </w:r>
      <w:r>
        <w:rPr>
          <w:rFonts w:hint="eastAsia"/>
        </w:rPr>
        <w:t xml:space="preserve">. For example, </w:t>
      </w:r>
      <w:r>
        <w:t xml:space="preserve">if </w:t>
      </w:r>
      <w:r>
        <w:rPr>
          <w:rFonts w:hint="eastAsia"/>
        </w:rPr>
        <w:t xml:space="preserve">16 ports need to be selected via bitmap from 32 ports. A bitmap </w:t>
      </w:r>
      <w:r>
        <w:t>‘</w:t>
      </w:r>
      <w:r>
        <w:rPr>
          <w:rFonts w:hint="eastAsia"/>
        </w:rPr>
        <w:t>1111 0000 0000 0000</w:t>
      </w:r>
      <w:r>
        <w:t>’</w:t>
      </w:r>
      <w:r>
        <w:rPr>
          <w:rFonts w:hint="eastAsia"/>
        </w:rPr>
        <w:t xml:space="preserve"> means ports with index</w:t>
      </w:r>
      <w:r>
        <w:t>es of</w:t>
      </w:r>
      <w:r>
        <w:rPr>
          <w:rFonts w:hint="eastAsia"/>
        </w:rPr>
        <w:t xml:space="preserve"> </w:t>
      </w:r>
      <w:r>
        <w:t>‘</w:t>
      </w:r>
      <w:r>
        <w:rPr>
          <w:rFonts w:hint="eastAsia"/>
        </w:rPr>
        <w:t>{0,16},</w:t>
      </w:r>
      <w:r>
        <w:t xml:space="preserve"> </w:t>
      </w:r>
      <w:r>
        <w:rPr>
          <w:rFonts w:hint="eastAsia"/>
        </w:rPr>
        <w:t>{1,17},</w:t>
      </w:r>
      <w:r>
        <w:t xml:space="preserve"> </w:t>
      </w:r>
      <w:r>
        <w:rPr>
          <w:rFonts w:hint="eastAsia"/>
        </w:rPr>
        <w:t>{2,18},</w:t>
      </w:r>
      <w:r>
        <w:t xml:space="preserve"> </w:t>
      </w:r>
      <w:r>
        <w:rPr>
          <w:rFonts w:hint="eastAsia"/>
        </w:rPr>
        <w:t>{3,19}</w:t>
      </w:r>
      <w:r>
        <w:t>’</w:t>
      </w:r>
      <w:r>
        <w:rPr>
          <w:rFonts w:hint="eastAsia"/>
        </w:rPr>
        <w:t xml:space="preserve"> are selected. Using this method, the overhead of the bitmap configuration can </w:t>
      </w:r>
      <w:r>
        <w:t xml:space="preserve">be </w:t>
      </w:r>
      <w:r>
        <w:rPr>
          <w:rFonts w:hint="eastAsia"/>
        </w:rPr>
        <w:t>reduce</w:t>
      </w:r>
      <w:r>
        <w:t>d</w:t>
      </w:r>
      <w:r>
        <w:rPr>
          <w:rFonts w:hint="eastAsia"/>
        </w:rPr>
        <w:t>.</w:t>
      </w:r>
    </w:p>
    <w:p>
      <w:pPr>
        <w:pStyle w:val="31"/>
        <w:spacing w:before="120" w:after="120"/>
        <w:rPr>
          <w:lang w:val="en-US" w:eastAsia="zh-CN"/>
        </w:rPr>
      </w:pPr>
      <w:bookmarkStart w:id="45" w:name="_Toc14679"/>
      <w:r>
        <w:rPr>
          <w:lang w:val="en-US" w:eastAsia="zh-CN"/>
        </w:rPr>
        <w:t>To reduce signaling overhead and guarantee performance, e</w:t>
      </w:r>
      <w:r>
        <w:rPr>
          <w:rFonts w:hint="eastAsia"/>
          <w:lang w:val="en-US" w:eastAsia="zh-CN"/>
        </w:rPr>
        <w:t xml:space="preserve">ach bit in a bitmap corresponds to two ports with different polarization directions </w:t>
      </w:r>
      <w:r>
        <w:rPr>
          <w:lang w:val="en-US" w:eastAsia="zh-CN"/>
        </w:rPr>
        <w:t>but</w:t>
      </w:r>
      <w:r>
        <w:rPr>
          <w:rFonts w:hint="eastAsia"/>
          <w:lang w:val="en-US" w:eastAsia="zh-CN"/>
        </w:rPr>
        <w:t xml:space="preserve"> in same position.</w:t>
      </w:r>
      <w:bookmarkEnd w:id="45"/>
    </w:p>
    <w:p>
      <w:pPr>
        <w:spacing w:before="120" w:after="120"/>
      </w:pPr>
      <w:r>
        <w:rPr>
          <w:rFonts w:hint="eastAsia"/>
        </w:rPr>
        <w:t>One of the benefit</w:t>
      </w:r>
      <w:r>
        <w:t>s</w:t>
      </w:r>
      <w:r>
        <w:rPr>
          <w:rFonts w:hint="eastAsia"/>
        </w:rPr>
        <w:t xml:space="preserve"> of</w:t>
      </w:r>
      <w:r>
        <w:t xml:space="preserve"> the</w:t>
      </w:r>
      <w:r>
        <w:rPr>
          <w:rFonts w:hint="eastAsia"/>
        </w:rPr>
        <w:t xml:space="preserve"> nested structure</w:t>
      </w:r>
      <w:r>
        <w:t xml:space="preserve"> supported by Alt 1-2</w:t>
      </w:r>
      <w:r>
        <w:rPr>
          <w:rFonts w:hint="eastAsia"/>
        </w:rPr>
        <w:t xml:space="preserve">-revised is that the correlation of </w:t>
      </w:r>
      <w:r>
        <w:t xml:space="preserve">the </w:t>
      </w:r>
      <w:r>
        <w:rPr>
          <w:rFonts w:hint="eastAsia"/>
        </w:rPr>
        <w:t>CSIs</w:t>
      </w:r>
      <w:r>
        <w:t xml:space="preserve"> of different port subsets</w:t>
      </w:r>
      <w:r>
        <w:rPr>
          <w:rFonts w:hint="eastAsia"/>
        </w:rPr>
        <w:t xml:space="preserve"> is high, and </w:t>
      </w:r>
      <w:r>
        <w:t xml:space="preserve">it </w:t>
      </w:r>
      <w:r>
        <w:rPr>
          <w:rFonts w:hint="eastAsia"/>
        </w:rPr>
        <w:t>can be used to reduce CSI report overhead</w:t>
      </w:r>
      <w:r>
        <w:t xml:space="preserve"> via</w:t>
      </w:r>
      <w:r>
        <w:rPr>
          <w:rFonts w:hint="eastAsia"/>
        </w:rPr>
        <w:t xml:space="preserve"> a common PMI</w:t>
      </w:r>
      <w:r>
        <w:t>. Therefore,</w:t>
      </w:r>
      <w:r>
        <w:rPr>
          <w:rFonts w:hint="eastAsia"/>
        </w:rPr>
        <w:t xml:space="preserve"> one</w:t>
      </w:r>
      <w:r>
        <w:t xml:space="preserve"> common</w:t>
      </w:r>
      <w:r>
        <w:rPr>
          <w:rFonts w:hint="eastAsia"/>
        </w:rPr>
        <w:t xml:space="preserve"> configuration for the CSI-RS resource with </w:t>
      </w:r>
      <w:r>
        <w:t xml:space="preserve">the </w:t>
      </w:r>
      <w:r>
        <w:rPr>
          <w:rFonts w:hint="eastAsia"/>
        </w:rPr>
        <w:t>largest number of ports is enough</w:t>
      </w:r>
      <w:r>
        <w:t>,</w:t>
      </w:r>
      <w:r>
        <w:rPr>
          <w:rFonts w:hint="eastAsia"/>
        </w:rPr>
        <w:t xml:space="preserve"> the parameters </w:t>
      </w:r>
      <w:r>
        <w:t>of</w:t>
      </w:r>
      <w:r>
        <w:rPr>
          <w:rFonts w:hint="eastAsia"/>
        </w:rPr>
        <w:t xml:space="preserve"> PMI (e.g., N1, N2, Ng, codebook subset restriction, codebook type)</w:t>
      </w:r>
      <w:r>
        <w:t xml:space="preserve"> </w:t>
      </w:r>
      <w:r>
        <w:rPr>
          <w:rFonts w:hint="eastAsia"/>
        </w:rPr>
        <w:t xml:space="preserve">for other ports are not needed. The details about common PMI can be found in </w:t>
      </w:r>
      <w:r>
        <w:t>s</w:t>
      </w:r>
      <w:r>
        <w:rPr>
          <w:rFonts w:hint="eastAsia"/>
        </w:rPr>
        <w:t>ection 3.2.1.</w:t>
      </w:r>
      <w:r>
        <w:t xml:space="preserve"> </w:t>
      </w:r>
    </w:p>
    <w:p>
      <w:pPr>
        <w:pStyle w:val="30"/>
        <w:spacing w:before="120" w:after="120"/>
        <w:rPr>
          <w:lang w:val="en-US" w:eastAsia="zh-CN"/>
        </w:rPr>
      </w:pPr>
      <w:bookmarkStart w:id="46" w:name="_Toc2165"/>
      <w:bookmarkStart w:id="47" w:name="_Toc12895"/>
      <w:bookmarkStart w:id="48" w:name="_Toc17891"/>
      <w:r>
        <w:rPr>
          <w:rFonts w:hint="eastAsia"/>
          <w:lang w:val="en-US" w:eastAsia="zh-CN"/>
        </w:rPr>
        <w:t xml:space="preserve">If reporting a common PMI for multi-CSIs is supported, there is no need to configure parameters </w:t>
      </w:r>
      <w:r>
        <w:rPr>
          <w:lang w:val="en-US" w:eastAsia="zh-CN"/>
        </w:rPr>
        <w:t>of</w:t>
      </w:r>
      <w:r>
        <w:rPr>
          <w:rFonts w:hint="eastAsia"/>
          <w:lang w:val="en-US" w:eastAsia="zh-CN"/>
        </w:rPr>
        <w:t xml:space="preserve"> PMI</w:t>
      </w:r>
      <w:r>
        <w:rPr>
          <w:lang w:val="en-US" w:eastAsia="zh-CN"/>
        </w:rPr>
        <w:t xml:space="preserve"> </w:t>
      </w:r>
      <w:r>
        <w:rPr>
          <w:rFonts w:hint="eastAsia"/>
          <w:lang w:val="en-US" w:eastAsia="zh-CN"/>
        </w:rPr>
        <w:t>(e.g., N1, N2, Ng, codebook subset restriction, codebook type)</w:t>
      </w:r>
      <w:r>
        <w:rPr>
          <w:lang w:val="en-US" w:eastAsia="zh-CN"/>
        </w:rPr>
        <w:t xml:space="preserve"> for each </w:t>
      </w:r>
      <w:r>
        <w:t>CSI report sub-configuration</w:t>
      </w:r>
      <w:r>
        <w:rPr>
          <w:rFonts w:hint="eastAsia"/>
          <w:lang w:val="en-US" w:eastAsia="zh-CN"/>
        </w:rPr>
        <w:t>.</w:t>
      </w:r>
      <w:bookmarkEnd w:id="46"/>
      <w:bookmarkEnd w:id="47"/>
      <w:bookmarkEnd w:id="48"/>
    </w:p>
    <w:p>
      <w:pPr>
        <w:pStyle w:val="31"/>
        <w:tabs>
          <w:tab w:val="clear" w:pos="1417"/>
        </w:tabs>
        <w:spacing w:before="120" w:after="120"/>
        <w:rPr>
          <w:lang w:val="en-US" w:eastAsia="zh-CN"/>
        </w:rPr>
      </w:pPr>
      <w:bookmarkStart w:id="49" w:name="_Toc26969"/>
      <w:r>
        <w:rPr>
          <w:rFonts w:hint="eastAsia"/>
          <w:lang w:val="en-US" w:eastAsia="zh-CN"/>
        </w:rPr>
        <w:t>If reporting a common PMI for multi-CSIs is supported, configur</w:t>
      </w:r>
      <w:r>
        <w:rPr>
          <w:lang w:val="en-US" w:eastAsia="zh-CN"/>
        </w:rPr>
        <w:t>ing one set of</w:t>
      </w:r>
      <w:r>
        <w:rPr>
          <w:rFonts w:hint="eastAsia"/>
          <w:lang w:val="en-US" w:eastAsia="zh-CN"/>
        </w:rPr>
        <w:t xml:space="preserve"> parameters </w:t>
      </w:r>
      <w:r>
        <w:rPr>
          <w:lang w:val="en-US" w:eastAsia="zh-CN"/>
        </w:rPr>
        <w:t>of</w:t>
      </w:r>
      <w:r>
        <w:rPr>
          <w:rFonts w:hint="eastAsia"/>
          <w:lang w:val="en-US" w:eastAsia="zh-CN"/>
        </w:rPr>
        <w:t xml:space="preserve"> PMI</w:t>
      </w:r>
      <w:r>
        <w:rPr>
          <w:lang w:val="en-US" w:eastAsia="zh-CN"/>
        </w:rPr>
        <w:t xml:space="preserve"> </w:t>
      </w:r>
      <w:r>
        <w:rPr>
          <w:rFonts w:hint="eastAsia"/>
          <w:lang w:val="en-US" w:eastAsia="zh-CN"/>
        </w:rPr>
        <w:t>(e.g., N1, N2, Ng, codebook subset restriction, codebook type)</w:t>
      </w:r>
      <w:r>
        <w:rPr>
          <w:lang w:val="en-US" w:eastAsia="zh-CN"/>
        </w:rPr>
        <w:t xml:space="preserve"> for the CSI report sub-configuration corresponding to the </w:t>
      </w:r>
      <w:r>
        <w:rPr>
          <w:rFonts w:hint="eastAsia"/>
        </w:rPr>
        <w:t>largest number of ports</w:t>
      </w:r>
      <w:r>
        <w:rPr>
          <w:rFonts w:hint="eastAsia"/>
          <w:lang w:val="en-US" w:eastAsia="zh-CN"/>
        </w:rPr>
        <w:t>.</w:t>
      </w:r>
      <w:bookmarkEnd w:id="49"/>
    </w:p>
    <w:p>
      <w:pPr>
        <w:spacing w:before="120" w:after="120"/>
      </w:pPr>
      <w:r>
        <w:rPr>
          <w:rFonts w:hint="eastAsia"/>
        </w:rPr>
        <w:t>An ex</w:t>
      </w:r>
      <w:r>
        <w:t>e</w:t>
      </w:r>
      <w:r>
        <w:rPr>
          <w:rFonts w:hint="eastAsia"/>
        </w:rPr>
        <w:t>mpl</w:t>
      </w:r>
      <w:r>
        <w:t>ary</w:t>
      </w:r>
      <w:r>
        <w:rPr>
          <w:rFonts w:hint="eastAsia"/>
        </w:rPr>
        <w:t xml:space="preserve"> framework of high layer configurations for </w:t>
      </w:r>
      <w:r>
        <w:t>Alt1-2</w:t>
      </w:r>
      <w:r>
        <w:rPr>
          <w:rFonts w:hint="eastAsia"/>
        </w:rPr>
        <w:t xml:space="preserve"> is </w:t>
      </w:r>
      <w:r>
        <w:t xml:space="preserve">shown </w:t>
      </w:r>
      <w:r>
        <w:rPr>
          <w:rFonts w:hint="eastAsia"/>
        </w:rPr>
        <w:t>as follows:</w:t>
      </w:r>
    </w:p>
    <w:p>
      <w:pPr>
        <w:pStyle w:val="31"/>
        <w:numPr>
          <w:ilvl w:val="0"/>
          <w:numId w:val="0"/>
        </w:numPr>
        <w:spacing w:before="120" w:after="120"/>
        <w:jc w:val="center"/>
        <w:rPr>
          <w:lang w:val="en-US" w:eastAsia="zh-CN"/>
        </w:rPr>
      </w:pPr>
      <w:bookmarkStart w:id="50" w:name="_Toc12790"/>
      <w:r>
        <w:rPr>
          <w:lang w:val="en-US" w:eastAsia="zh-CN"/>
        </w:rPr>
        <w:drawing>
          <wp:inline distT="0" distB="0" distL="114300" distR="114300">
            <wp:extent cx="3652520" cy="1657985"/>
            <wp:effectExtent l="0" t="0" r="5080" b="0"/>
            <wp:docPr id="14"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53"/>
                    <pic:cNvPicPr>
                      <a:picLocks noChangeAspect="1"/>
                    </pic:cNvPicPr>
                  </pic:nvPicPr>
                  <pic:blipFill>
                    <a:blip r:embed="rId12"/>
                    <a:stretch>
                      <a:fillRect/>
                    </a:stretch>
                  </pic:blipFill>
                  <pic:spPr>
                    <a:xfrm>
                      <a:off x="0" y="0"/>
                      <a:ext cx="3658060" cy="1660596"/>
                    </a:xfrm>
                    <a:prstGeom prst="rect">
                      <a:avLst/>
                    </a:prstGeom>
                    <a:noFill/>
                    <a:ln>
                      <a:noFill/>
                    </a:ln>
                  </pic:spPr>
                </pic:pic>
              </a:graphicData>
            </a:graphic>
          </wp:inline>
        </w:drawing>
      </w:r>
      <w:bookmarkEnd w:id="50"/>
    </w:p>
    <w:p>
      <w:pPr>
        <w:pStyle w:val="59"/>
        <w:spacing w:before="120" w:after="120"/>
        <w:rPr>
          <w:rFonts w:hint="default"/>
        </w:rPr>
      </w:pPr>
      <w:r>
        <w:t>Example of high layer configurations for Alt1-2-revised</w:t>
      </w:r>
    </w:p>
    <w:p>
      <w:pPr>
        <w:numPr>
          <w:ilvl w:val="0"/>
          <w:numId w:val="20"/>
        </w:numPr>
        <w:spacing w:before="120" w:after="120"/>
        <w:rPr>
          <w:b/>
          <w:bCs/>
          <w:szCs w:val="21"/>
        </w:rPr>
      </w:pPr>
      <w:r>
        <w:rPr>
          <w:rFonts w:hint="eastAsia"/>
          <w:b/>
          <w:bCs/>
          <w:szCs w:val="21"/>
        </w:rPr>
        <w:t>Type 2 spatial adaptation</w:t>
      </w:r>
    </w:p>
    <w:p>
      <w:pPr>
        <w:spacing w:before="120" w:after="120"/>
        <w:rPr>
          <w:bCs/>
          <w:szCs w:val="21"/>
        </w:rPr>
      </w:pPr>
      <w:r>
        <w:rPr>
          <w:rFonts w:hint="eastAsia"/>
        </w:rPr>
        <w:t>For type 2 spatial adaptation, A1-1-revised is preferred</w:t>
      </w:r>
      <w:r>
        <w:t>, where s</w:t>
      </w:r>
      <w:r>
        <w:rPr>
          <w:rFonts w:hint="eastAsia"/>
        </w:rPr>
        <w:t>eparate CSI-RS resources are configured and each CSI-RS resource is associated with a</w:t>
      </w:r>
      <w:r>
        <w:t>n</w:t>
      </w:r>
      <w:r>
        <w:rPr>
          <w:rFonts w:hint="eastAsia"/>
        </w:rPr>
        <w:t xml:space="preserve"> antenna pattern. The number of ports will not change for type 2 spatial adaptation, and </w:t>
      </w:r>
      <w:r>
        <w:t xml:space="preserve">common configuration </w:t>
      </w:r>
      <w:r>
        <w:rPr>
          <w:rFonts w:hint="eastAsia"/>
        </w:rPr>
        <w:t>parameters for PMI for one antenna pattern is enough. The difference between CSI-RS resources can be distinguished through configuration</w:t>
      </w:r>
      <w:r>
        <w:t>.</w:t>
      </w:r>
      <w:r>
        <w:rPr>
          <w:rFonts w:hint="eastAsia"/>
        </w:rPr>
        <w:t xml:space="preserve"> </w:t>
      </w:r>
      <w:r>
        <w:rPr>
          <w:bCs/>
          <w:szCs w:val="21"/>
        </w:rPr>
        <w:t>For a CSI report config</w:t>
      </w:r>
      <w:r>
        <w:rPr>
          <w:rFonts w:hint="eastAsia"/>
          <w:bCs/>
          <w:szCs w:val="21"/>
        </w:rPr>
        <w:t>uration</w:t>
      </w:r>
      <w:r>
        <w:rPr>
          <w:bCs/>
          <w:szCs w:val="21"/>
        </w:rPr>
        <w:t xml:space="preserve"> enables a UE to report </w:t>
      </w:r>
      <w:r>
        <w:rPr>
          <w:bCs/>
          <w:i/>
          <w:szCs w:val="21"/>
        </w:rPr>
        <w:t>N</w:t>
      </w:r>
      <w:r>
        <w:rPr>
          <w:bCs/>
          <w:szCs w:val="21"/>
        </w:rPr>
        <w:t xml:space="preserve"> CSI(s) in one reporting instance</w:t>
      </w:r>
      <w:r>
        <w:rPr>
          <w:rFonts w:hint="eastAsia"/>
          <w:bCs/>
          <w:szCs w:val="21"/>
        </w:rPr>
        <w:t xml:space="preserve">, gNB can indicates N CRI(s) or N group indices for UE. However, the CRI(s), or group indices can </w:t>
      </w:r>
      <w:r>
        <w:rPr>
          <w:bCs/>
          <w:szCs w:val="21"/>
        </w:rPr>
        <w:t xml:space="preserve">be </w:t>
      </w:r>
      <w:r>
        <w:rPr>
          <w:rFonts w:hint="eastAsia"/>
          <w:bCs/>
          <w:szCs w:val="21"/>
        </w:rPr>
        <w:t>configure</w:t>
      </w:r>
      <w:r>
        <w:rPr>
          <w:bCs/>
          <w:szCs w:val="21"/>
        </w:rPr>
        <w:t>d</w:t>
      </w:r>
      <w:r>
        <w:rPr>
          <w:rFonts w:hint="eastAsia"/>
          <w:bCs/>
          <w:szCs w:val="21"/>
        </w:rPr>
        <w:t xml:space="preserve"> in CSI-RS resource configuration, and </w:t>
      </w:r>
      <w:r>
        <w:rPr>
          <w:bCs/>
          <w:szCs w:val="21"/>
        </w:rPr>
        <w:t>instead of</w:t>
      </w:r>
      <w:r>
        <w:rPr>
          <w:rFonts w:hint="eastAsia"/>
          <w:bCs/>
          <w:szCs w:val="21"/>
        </w:rPr>
        <w:t xml:space="preserve"> </w:t>
      </w:r>
      <w:r>
        <w:rPr>
          <w:bCs/>
          <w:szCs w:val="21"/>
        </w:rPr>
        <w:t>being</w:t>
      </w:r>
      <w:r>
        <w:rPr>
          <w:rFonts w:hint="eastAsia"/>
          <w:bCs/>
          <w:szCs w:val="21"/>
        </w:rPr>
        <w:t xml:space="preserve"> configured in a CSI report configuration. Thus, sub-configuration(s) is not needed for type 2 spatial adaptation, or the sub-configuration(s) can be group indices or resource index.</w:t>
      </w:r>
    </w:p>
    <w:p>
      <w:pPr>
        <w:spacing w:before="120" w:after="120"/>
      </w:pPr>
      <w:r>
        <w:rPr>
          <w:rFonts w:hint="eastAsia"/>
        </w:rPr>
        <w:t>An example framework of high layer configurations for type 2 spatial adaptation is as follows:</w:t>
      </w:r>
    </w:p>
    <w:p>
      <w:pPr>
        <w:spacing w:before="120" w:after="120"/>
        <w:jc w:val="center"/>
      </w:pPr>
      <w:r>
        <w:drawing>
          <wp:inline distT="0" distB="0" distL="114300" distR="114300">
            <wp:extent cx="5013960" cy="1112520"/>
            <wp:effectExtent l="0" t="0" r="15240" b="11430"/>
            <wp:docPr id="15"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54"/>
                    <pic:cNvPicPr>
                      <a:picLocks noChangeAspect="1"/>
                    </pic:cNvPicPr>
                  </pic:nvPicPr>
                  <pic:blipFill>
                    <a:blip r:embed="rId13"/>
                    <a:stretch>
                      <a:fillRect/>
                    </a:stretch>
                  </pic:blipFill>
                  <pic:spPr>
                    <a:xfrm>
                      <a:off x="0" y="0"/>
                      <a:ext cx="5013960" cy="1112520"/>
                    </a:xfrm>
                    <a:prstGeom prst="rect">
                      <a:avLst/>
                    </a:prstGeom>
                    <a:noFill/>
                    <a:ln>
                      <a:noFill/>
                    </a:ln>
                  </pic:spPr>
                </pic:pic>
              </a:graphicData>
            </a:graphic>
          </wp:inline>
        </w:drawing>
      </w:r>
    </w:p>
    <w:p>
      <w:pPr>
        <w:pStyle w:val="59"/>
        <w:spacing w:before="120" w:after="120"/>
        <w:rPr>
          <w:rFonts w:hint="default"/>
        </w:rPr>
      </w:pPr>
      <w:r>
        <w:t>Example of high layer configurations for type 2 spatial adaptation</w:t>
      </w:r>
    </w:p>
    <w:p>
      <w:pPr>
        <w:spacing w:before="120" w:after="120"/>
        <w:rPr>
          <w:bCs/>
          <w:szCs w:val="21"/>
        </w:rPr>
      </w:pPr>
    </w:p>
    <w:p>
      <w:pPr>
        <w:pStyle w:val="3"/>
        <w:numPr>
          <w:ilvl w:val="1"/>
          <w:numId w:val="10"/>
        </w:numPr>
        <w:spacing w:before="120" w:after="120"/>
        <w:ind w:right="210"/>
        <w:rPr>
          <w:rFonts w:ascii="Times New Roman" w:hAnsi="Times New Roman" w:eastAsia="宋体"/>
          <w:b/>
          <w:bCs/>
          <w:sz w:val="21"/>
          <w:szCs w:val="21"/>
        </w:rPr>
      </w:pPr>
      <w:r>
        <w:rPr>
          <w:rFonts w:hint="eastAsia" w:ascii="Times New Roman" w:hAnsi="Times New Roman" w:eastAsia="宋体"/>
          <w:b/>
          <w:bCs/>
          <w:sz w:val="21"/>
          <w:szCs w:val="21"/>
        </w:rPr>
        <w:t>UL overhead reduction</w:t>
      </w:r>
    </w:p>
    <w:p>
      <w:pPr>
        <w:spacing w:before="120" w:after="120"/>
      </w:pPr>
      <w:r>
        <w:rPr>
          <w:rFonts w:hint="eastAsia"/>
        </w:rPr>
        <w:t>If UE needs to report multiple CSIs</w:t>
      </w:r>
      <w:r>
        <w:t xml:space="preserve"> for NES</w:t>
      </w:r>
      <w:r>
        <w:rPr>
          <w:rFonts w:hint="eastAsia"/>
        </w:rPr>
        <w:t>, the UL overhead will increase</w:t>
      </w:r>
      <w:r>
        <w:t xml:space="preserve"> accordingly</w:t>
      </w:r>
      <w:r>
        <w:rPr>
          <w:rFonts w:hint="eastAsia"/>
        </w:rPr>
        <w:t>. Therefore,</w:t>
      </w:r>
      <w:r>
        <w:t xml:space="preserve"> it was agreed to study how to</w:t>
      </w:r>
      <w:r>
        <w:rPr>
          <w:rFonts w:hint="eastAsia"/>
        </w:rPr>
        <w:t xml:space="preserve"> reduce the UL overhead of CSI reports.</w:t>
      </w:r>
      <w:r>
        <w:t xml:space="preserve"> In this section, the detailed solution is elaborated.</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50" w:type="dxa"/>
          </w:tcPr>
          <w:p>
            <w:pPr>
              <w:spacing w:before="120" w:after="120"/>
              <w:rPr>
                <w:szCs w:val="21"/>
                <w:highlight w:val="green"/>
              </w:rPr>
            </w:pPr>
            <w:r>
              <w:rPr>
                <w:szCs w:val="21"/>
                <w:highlight w:val="green"/>
              </w:rPr>
              <w:t>Agreement</w:t>
            </w:r>
          </w:p>
          <w:p>
            <w:pPr>
              <w:spacing w:before="120" w:after="120"/>
              <w:rPr>
                <w:szCs w:val="21"/>
              </w:rPr>
            </w:pPr>
            <w:r>
              <w:rPr>
                <w:szCs w:val="21"/>
              </w:rPr>
              <w:t xml:space="preserve">For CSI feedback with CSI overhead/report payload reduction, further study whether/how to report a common value and/or a differential and/or joint </w:t>
            </w:r>
            <w:r>
              <w:rPr>
                <w:rFonts w:hint="eastAsia"/>
                <w:szCs w:val="21"/>
              </w:rPr>
              <w:t>coded</w:t>
            </w:r>
            <w:r>
              <w:rPr>
                <w:szCs w:val="21"/>
              </w:rPr>
              <w:t xml:space="preserve"> value across same CSI quantity of different sub-configurations/adaptation patterns, at least for the following</w:t>
            </w:r>
          </w:p>
          <w:p>
            <w:pPr>
              <w:pStyle w:val="37"/>
              <w:numPr>
                <w:ilvl w:val="0"/>
                <w:numId w:val="17"/>
              </w:numPr>
              <w:spacing w:after="120"/>
              <w:rPr>
                <w:rFonts w:eastAsia="MS Mincho"/>
                <w:sz w:val="21"/>
                <w:szCs w:val="21"/>
              </w:rPr>
            </w:pPr>
            <w:r>
              <w:rPr>
                <w:rFonts w:eastAsia="MS Mincho"/>
                <w:sz w:val="21"/>
                <w:szCs w:val="21"/>
              </w:rPr>
              <w:t>CRI</w:t>
            </w:r>
          </w:p>
          <w:p>
            <w:pPr>
              <w:pStyle w:val="37"/>
              <w:numPr>
                <w:ilvl w:val="0"/>
                <w:numId w:val="17"/>
              </w:numPr>
              <w:spacing w:after="120"/>
              <w:rPr>
                <w:rFonts w:eastAsia="MS Mincho"/>
                <w:sz w:val="21"/>
                <w:szCs w:val="21"/>
              </w:rPr>
            </w:pPr>
            <w:r>
              <w:rPr>
                <w:rFonts w:eastAsia="MS Mincho"/>
                <w:sz w:val="21"/>
                <w:szCs w:val="21"/>
              </w:rPr>
              <w:t>RI</w:t>
            </w:r>
          </w:p>
          <w:p>
            <w:pPr>
              <w:pStyle w:val="37"/>
              <w:numPr>
                <w:ilvl w:val="0"/>
                <w:numId w:val="17"/>
              </w:numPr>
              <w:spacing w:after="120"/>
              <w:rPr>
                <w:rFonts w:eastAsia="MS Mincho"/>
                <w:sz w:val="21"/>
                <w:szCs w:val="21"/>
              </w:rPr>
            </w:pPr>
            <w:r>
              <w:rPr>
                <w:rFonts w:eastAsia="MS Mincho"/>
                <w:sz w:val="21"/>
                <w:szCs w:val="21"/>
              </w:rPr>
              <w:t>PMI</w:t>
            </w:r>
          </w:p>
          <w:p>
            <w:pPr>
              <w:pStyle w:val="37"/>
              <w:numPr>
                <w:ilvl w:val="0"/>
                <w:numId w:val="17"/>
              </w:numPr>
              <w:spacing w:after="120"/>
              <w:rPr>
                <w:rFonts w:eastAsia="MS Mincho"/>
                <w:sz w:val="21"/>
                <w:szCs w:val="21"/>
              </w:rPr>
            </w:pPr>
            <w:r>
              <w:rPr>
                <w:rFonts w:eastAsia="MS Mincho"/>
                <w:sz w:val="21"/>
                <w:szCs w:val="21"/>
              </w:rPr>
              <w:t>CQI</w:t>
            </w:r>
          </w:p>
          <w:p>
            <w:pPr>
              <w:pStyle w:val="37"/>
              <w:numPr>
                <w:ilvl w:val="0"/>
                <w:numId w:val="17"/>
              </w:numPr>
              <w:spacing w:after="120"/>
              <w:rPr>
                <w:rFonts w:eastAsia="MS Mincho"/>
                <w:sz w:val="21"/>
                <w:szCs w:val="21"/>
              </w:rPr>
            </w:pPr>
            <w:r>
              <w:rPr>
                <w:rFonts w:eastAsia="MS Mincho"/>
                <w:sz w:val="21"/>
                <w:szCs w:val="21"/>
              </w:rPr>
              <w:t>FFS: L1-RSRP</w:t>
            </w:r>
          </w:p>
          <w:p>
            <w:pPr>
              <w:pStyle w:val="37"/>
              <w:numPr>
                <w:ilvl w:val="0"/>
                <w:numId w:val="17"/>
              </w:numPr>
              <w:spacing w:after="120"/>
              <w:rPr>
                <w:rFonts w:eastAsia="MS Mincho"/>
                <w:sz w:val="21"/>
                <w:szCs w:val="21"/>
              </w:rPr>
            </w:pPr>
            <w:r>
              <w:rPr>
                <w:rFonts w:eastAsia="MS Mincho"/>
                <w:sz w:val="21"/>
                <w:szCs w:val="21"/>
              </w:rPr>
              <w:t>Other (new) report quantity, if any</w:t>
            </w:r>
          </w:p>
          <w:p>
            <w:pPr>
              <w:spacing w:before="120" w:after="120"/>
              <w:rPr>
                <w:rFonts w:eastAsiaTheme="minorEastAsia"/>
                <w:szCs w:val="21"/>
              </w:rPr>
            </w:pPr>
            <w:r>
              <w:rPr>
                <w:szCs w:val="21"/>
              </w:rPr>
              <w:t xml:space="preserve">Further study </w:t>
            </w:r>
            <w:r>
              <w:rPr>
                <w:rFonts w:eastAsia="MS Mincho"/>
                <w:szCs w:val="21"/>
              </w:rPr>
              <w:t xml:space="preserve">whether/how it is feasible/possible for the UE to skip the evaluations of some </w:t>
            </w:r>
            <w:r>
              <w:rPr>
                <w:szCs w:val="21"/>
              </w:rPr>
              <w:t xml:space="preserve">sub-configurations/adaptation </w:t>
            </w:r>
            <w:r>
              <w:rPr>
                <w:rFonts w:eastAsia="MS Mincho"/>
                <w:szCs w:val="21"/>
              </w:rPr>
              <w:t>patterns to reduce the burden at the UE.</w:t>
            </w:r>
          </w:p>
        </w:tc>
      </w:tr>
    </w:tbl>
    <w:p>
      <w:pPr>
        <w:spacing w:before="120" w:after="120"/>
      </w:pPr>
    </w:p>
    <w:p>
      <w:pPr>
        <w:pStyle w:val="4"/>
        <w:numPr>
          <w:ilvl w:val="2"/>
          <w:numId w:val="10"/>
        </w:numPr>
        <w:spacing w:after="120"/>
        <w:ind w:right="210"/>
        <w:rPr>
          <w:rFonts w:ascii="Times New Roman" w:hAnsi="Times New Roman"/>
          <w:b/>
          <w:bCs/>
          <w:sz w:val="21"/>
          <w:szCs w:val="21"/>
        </w:rPr>
      </w:pPr>
      <w:r>
        <w:rPr>
          <w:rFonts w:hint="eastAsia" w:ascii="Times New Roman" w:hAnsi="Times New Roman"/>
          <w:b/>
          <w:bCs/>
          <w:sz w:val="21"/>
          <w:szCs w:val="21"/>
        </w:rPr>
        <w:t>PMI</w:t>
      </w:r>
    </w:p>
    <w:p>
      <w:pPr>
        <w:spacing w:before="120" w:after="120"/>
      </w:pPr>
      <w:r>
        <w:rPr>
          <w:rFonts w:hint="eastAsia"/>
        </w:rPr>
        <w:t xml:space="preserve">The </w:t>
      </w:r>
      <w:r>
        <w:t>payload</w:t>
      </w:r>
      <w:r>
        <w:rPr>
          <w:rFonts w:hint="eastAsia"/>
        </w:rPr>
        <w:t xml:space="preserve"> of PMI is shown in Table 1. </w:t>
      </w:r>
      <w:r>
        <w:t>It can be seen that t</w:t>
      </w:r>
      <w:r>
        <w:rPr>
          <w:rFonts w:hint="eastAsia"/>
        </w:rPr>
        <w:t xml:space="preserve">he overhead of PMI is </w:t>
      </w:r>
      <w:r>
        <w:t>determined by</w:t>
      </w:r>
      <w:r>
        <w:rPr>
          <w:rFonts w:hint="eastAsia"/>
        </w:rPr>
        <w:t xml:space="preserve"> N1,</w:t>
      </w:r>
      <w:r>
        <w:t xml:space="preserve"> </w:t>
      </w:r>
      <w:r>
        <w:rPr>
          <w:rFonts w:hint="eastAsia"/>
        </w:rPr>
        <w:t>N2,</w:t>
      </w:r>
      <w:r>
        <w:t xml:space="preserve"> </w:t>
      </w:r>
      <w:r>
        <w:rPr>
          <w:rFonts w:hint="eastAsia"/>
        </w:rPr>
        <w:t>O1,</w:t>
      </w:r>
      <w:r>
        <w:t xml:space="preserve"> </w:t>
      </w:r>
      <w:r>
        <w:rPr>
          <w:rFonts w:hint="eastAsia"/>
        </w:rPr>
        <w:t>O2 and the number of subband</w:t>
      </w:r>
      <w:r>
        <w:t xml:space="preserve">s. </w:t>
      </w:r>
      <w:r>
        <w:rPr>
          <w:rFonts w:hint="eastAsia"/>
        </w:rPr>
        <w:t>For example, when UE needs to report CSIs of 32 ports, 24 ports and 16 ports with rank = 3</w:t>
      </w:r>
      <w:r>
        <w:t>, where</w:t>
      </w:r>
      <w:r>
        <w:rPr>
          <w:rFonts w:hint="eastAsia"/>
        </w:rPr>
        <w:t xml:space="preserve"> (N1,</w:t>
      </w:r>
      <w:r>
        <w:t xml:space="preserve"> </w:t>
      </w:r>
      <w:r>
        <w:rPr>
          <w:rFonts w:hint="eastAsia"/>
        </w:rPr>
        <w:t>N2)</w:t>
      </w:r>
      <w:r>
        <w:t xml:space="preserve"> </w:t>
      </w:r>
      <w:r>
        <w:rPr>
          <w:rFonts w:hint="eastAsia"/>
        </w:rPr>
        <w:t>=</w:t>
      </w:r>
      <w:r>
        <w:t xml:space="preserve"> </w:t>
      </w:r>
      <w:r>
        <w:rPr>
          <w:rFonts w:hint="eastAsia"/>
        </w:rPr>
        <w:t>(8,2) for 32 ports, (N1,</w:t>
      </w:r>
      <w:r>
        <w:t xml:space="preserve"> </w:t>
      </w:r>
      <w:r>
        <w:rPr>
          <w:rFonts w:hint="eastAsia"/>
        </w:rPr>
        <w:t>N2)</w:t>
      </w:r>
      <w:r>
        <w:t xml:space="preserve"> </w:t>
      </w:r>
      <w:r>
        <w:rPr>
          <w:rFonts w:hint="eastAsia"/>
        </w:rPr>
        <w:t>=</w:t>
      </w:r>
      <w:r>
        <w:t xml:space="preserve"> </w:t>
      </w:r>
      <w:r>
        <w:rPr>
          <w:rFonts w:hint="eastAsia"/>
        </w:rPr>
        <w:t>(6,2) for 24 ports, (N1,</w:t>
      </w:r>
      <w:r>
        <w:t xml:space="preserve"> </w:t>
      </w:r>
      <w:r>
        <w:rPr>
          <w:rFonts w:hint="eastAsia"/>
        </w:rPr>
        <w:t>N2)</w:t>
      </w:r>
      <w:r>
        <w:t xml:space="preserve"> </w:t>
      </w:r>
      <w:r>
        <w:rPr>
          <w:rFonts w:hint="eastAsia"/>
        </w:rPr>
        <w:t xml:space="preserve">=(8,1) for 16 ports, codebookMode = 1, no subband PMI. The total </w:t>
      </w:r>
      <w:r>
        <w:t xml:space="preserve">payload of wideband </w:t>
      </w:r>
      <w:r>
        <w:rPr>
          <w:rFonts w:hint="eastAsia"/>
        </w:rPr>
        <w:t xml:space="preserve">PMI </w:t>
      </w:r>
      <w:r>
        <w:t>is</w:t>
      </w:r>
      <w:r>
        <w:rPr>
          <w:rFonts w:hint="eastAsia"/>
        </w:rPr>
        <w:t xml:space="preserve"> 10 + 10 + 8 = 28 bits. If subband PMI </w:t>
      </w:r>
      <w:r>
        <w:t xml:space="preserve">also </w:t>
      </w:r>
      <w:r>
        <w:rPr>
          <w:rFonts w:hint="eastAsia"/>
        </w:rPr>
        <w:t>need</w:t>
      </w:r>
      <w:r>
        <w:t>s</w:t>
      </w:r>
      <w:r>
        <w:rPr>
          <w:rFonts w:hint="eastAsia"/>
        </w:rPr>
        <w:t xml:space="preserve"> to be reported, the overhead of PMIs can be</w:t>
      </w:r>
      <w:r>
        <w:t xml:space="preserve"> even</w:t>
      </w:r>
      <w:r>
        <w:rPr>
          <w:rFonts w:hint="eastAsia"/>
        </w:rPr>
        <w:t xml:space="preserve"> larger.</w:t>
      </w:r>
    </w:p>
    <w:p>
      <w:pPr>
        <w:spacing w:before="120" w:after="120"/>
        <w:jc w:val="center"/>
        <w:rPr>
          <w:b/>
          <w:bCs/>
        </w:rPr>
      </w:pPr>
      <w:r>
        <w:rPr>
          <w:rFonts w:hint="eastAsia"/>
          <w:b/>
          <w:bCs/>
        </w:rPr>
        <w:t xml:space="preserve">Table 1 PMI of </w:t>
      </w:r>
      <w:r>
        <w:rPr>
          <w:b/>
          <w:bCs/>
          <w:i/>
        </w:rPr>
        <w:t>codebookType</w:t>
      </w:r>
      <w:r>
        <w:rPr>
          <w:rFonts w:hint="eastAsia"/>
          <w:b/>
          <w:bCs/>
          <w:i/>
        </w:rPr>
        <w:t>=</w:t>
      </w:r>
      <w:r>
        <w:rPr>
          <w:b/>
          <w:bCs/>
          <w:i/>
        </w:rPr>
        <w:t>typeI-SinglePanel</w:t>
      </w:r>
    </w:p>
    <w:tbl>
      <w:tblPr>
        <w:tblStyle w:val="18"/>
        <w:tblW w:w="96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95"/>
        <w:gridCol w:w="1867"/>
        <w:gridCol w:w="2025"/>
        <w:gridCol w:w="653"/>
        <w:gridCol w:w="1723"/>
        <w:gridCol w:w="17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95" w:type="dxa"/>
            <w:vMerge w:val="restart"/>
            <w:shd w:val="clear" w:color="auto" w:fill="D9D9D9"/>
            <w:vAlign w:val="center"/>
          </w:tcPr>
          <w:p>
            <w:pPr>
              <w:spacing w:before="120" w:after="120"/>
              <w:jc w:val="center"/>
            </w:pPr>
          </w:p>
        </w:tc>
        <w:tc>
          <w:tcPr>
            <w:tcW w:w="4545" w:type="dxa"/>
            <w:gridSpan w:val="3"/>
            <w:shd w:val="clear" w:color="auto" w:fill="D9D9D9"/>
            <w:vAlign w:val="center"/>
          </w:tcPr>
          <w:p>
            <w:pPr>
              <w:spacing w:before="120" w:after="120"/>
              <w:jc w:val="center"/>
            </w:pPr>
            <w:r>
              <w:rPr>
                <w:rFonts w:hint="eastAsia"/>
              </w:rPr>
              <w:t xml:space="preserve">Information field </w:t>
            </w:r>
            <w:r>
              <w:rPr>
                <w:position w:val="-10"/>
              </w:rPr>
              <w:object>
                <v:shape id="_x0000_i1025" o:spt="75" type="#_x0000_t75" style="height:18pt;width:16.5pt;" o:ole="t" filled="f" o:preferrelative="t" stroked="f" coordsize="21600,21600">
                  <v:path/>
                  <v:fill on="f" focussize="0,0"/>
                  <v:stroke on="f" joinstyle="miter"/>
                  <v:imagedata r:id="rId15" o:title=""/>
                  <o:lock v:ext="edit" aspectratio="t"/>
                  <w10:wrap type="none"/>
                  <w10:anchorlock/>
                </v:shape>
                <o:OLEObject Type="Embed" ProgID="Equation.3" ShapeID="_x0000_i1025" DrawAspect="Content" ObjectID="_1468075725" r:id="rId14">
                  <o:LockedField>false</o:LockedField>
                </o:OLEObject>
              </w:object>
            </w:r>
            <w:r>
              <w:rPr>
                <w:rFonts w:hint="eastAsia"/>
              </w:rPr>
              <w:t xml:space="preserve"> for wideband PMI</w:t>
            </w:r>
          </w:p>
        </w:tc>
        <w:tc>
          <w:tcPr>
            <w:tcW w:w="3462" w:type="dxa"/>
            <w:gridSpan w:val="2"/>
            <w:shd w:val="clear" w:color="auto" w:fill="D9D9D9"/>
            <w:vAlign w:val="center"/>
          </w:tcPr>
          <w:p>
            <w:pPr>
              <w:spacing w:before="120" w:after="120"/>
              <w:jc w:val="center"/>
              <w:rPr>
                <w:rFonts w:cs="Arial"/>
              </w:rPr>
            </w:pPr>
            <w:r>
              <w:rPr>
                <w:rFonts w:hint="eastAsia"/>
              </w:rPr>
              <w:t xml:space="preserve">Information field </w:t>
            </w:r>
            <w:r>
              <w:rPr>
                <w:position w:val="-10"/>
              </w:rPr>
              <w:object>
                <v:shape id="_x0000_i1026" o:spt="75" type="#_x0000_t75" style="height:18.5pt;width:18.5pt;" o:ole="t" filled="f" o:preferrelative="t" stroked="f" coordsize="21600,21600">
                  <v:path/>
                  <v:fill on="f" focussize="0,0"/>
                  <v:stroke on="f" joinstyle="miter"/>
                  <v:imagedata r:id="rId17" o:title=""/>
                  <o:lock v:ext="edit" aspectratio="t"/>
                  <w10:wrap type="none"/>
                  <w10:anchorlock/>
                </v:shape>
                <o:OLEObject Type="Embed" ProgID="Equation.3" ShapeID="_x0000_i1026" DrawAspect="Content" ObjectID="_1468075726" r:id="rId16">
                  <o:LockedField>false</o:LockedField>
                </o:OLEObject>
              </w:object>
            </w:r>
            <w:r>
              <w:rPr>
                <w:rFonts w:hint="eastAsia"/>
              </w:rPr>
              <w:t xml:space="preserve"> for wideband PMI</w:t>
            </w:r>
            <w:r>
              <w:br w:type="textWrapping"/>
            </w:r>
            <w:r>
              <w:rPr>
                <w:rFonts w:hint="eastAsia"/>
              </w:rPr>
              <w:t>or per subband PMI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95" w:type="dxa"/>
            <w:vMerge w:val="continue"/>
            <w:shd w:val="clear" w:color="auto" w:fill="D9D9D9"/>
            <w:vAlign w:val="center"/>
          </w:tcPr>
          <w:p>
            <w:pPr>
              <w:spacing w:before="120" w:after="120"/>
              <w:jc w:val="center"/>
            </w:pPr>
          </w:p>
        </w:tc>
        <w:tc>
          <w:tcPr>
            <w:tcW w:w="3892" w:type="dxa"/>
            <w:gridSpan w:val="2"/>
            <w:shd w:val="clear" w:color="auto" w:fill="D9D9D9"/>
            <w:vAlign w:val="center"/>
          </w:tcPr>
          <w:p>
            <w:pPr>
              <w:spacing w:before="120" w:after="120"/>
              <w:jc w:val="center"/>
            </w:pPr>
            <w:r>
              <w:rPr>
                <w:rFonts w:hint="eastAsia"/>
              </w:rPr>
              <w:t>(</w:t>
            </w:r>
            <w:r>
              <w:rPr>
                <w:position w:val="-12"/>
              </w:rPr>
              <w:object>
                <v:shape id="_x0000_i1027" o:spt="75" type="#_x0000_t75" style="height:16.5pt;width:13pt;" o:ole="t" filled="f" o:preferrelative="t" stroked="f" coordsize="21600,21600">
                  <v:path/>
                  <v:fill on="f" focussize="0,0"/>
                  <v:stroke on="f" joinstyle="miter"/>
                  <v:imagedata r:id="rId19" o:title=""/>
                  <o:lock v:ext="edit" aspectratio="t"/>
                  <w10:wrap type="none"/>
                  <w10:anchorlock/>
                </v:shape>
                <o:OLEObject Type="Embed" ProgID="Equation.3" ShapeID="_x0000_i1027" DrawAspect="Content" ObjectID="_1468075727" r:id="rId18">
                  <o:LockedField>false</o:LockedField>
                </o:OLEObject>
              </w:object>
            </w:r>
            <w:r>
              <w:rPr>
                <w:rFonts w:hint="eastAsia"/>
              </w:rPr>
              <w:t>,</w:t>
            </w:r>
            <w:r>
              <w:rPr>
                <w:position w:val="-12"/>
              </w:rPr>
              <w:object>
                <v:shape id="_x0000_i1028" o:spt="75" type="#_x0000_t75" style="height:16.5pt;width:15.5pt;" o:ole="t" filled="f" o:preferrelative="t" stroked="f" coordsize="21600,21600">
                  <v:path/>
                  <v:fill on="f" focussize="0,0"/>
                  <v:stroke on="f" joinstyle="miter"/>
                  <v:imagedata r:id="rId21" o:title=""/>
                  <o:lock v:ext="edit" aspectratio="t"/>
                  <w10:wrap type="none"/>
                  <w10:anchorlock/>
                </v:shape>
                <o:OLEObject Type="Embed" ProgID="Equation.3" ShapeID="_x0000_i1028" DrawAspect="Content" ObjectID="_1468075728" r:id="rId20">
                  <o:LockedField>false</o:LockedField>
                </o:OLEObject>
              </w:object>
            </w:r>
            <w:r>
              <w:rPr>
                <w:rFonts w:hint="eastAsia"/>
              </w:rPr>
              <w:t>)</w:t>
            </w:r>
          </w:p>
        </w:tc>
        <w:tc>
          <w:tcPr>
            <w:tcW w:w="653" w:type="dxa"/>
            <w:vMerge w:val="restart"/>
            <w:shd w:val="clear" w:color="auto" w:fill="D9D9D9"/>
            <w:vAlign w:val="center"/>
          </w:tcPr>
          <w:p>
            <w:pPr>
              <w:spacing w:before="120" w:after="120"/>
              <w:jc w:val="center"/>
              <w:rPr>
                <w:rFonts w:cs="Arial"/>
              </w:rPr>
            </w:pPr>
            <w:r>
              <w:rPr>
                <w:position w:val="-12"/>
              </w:rPr>
              <w:object>
                <v:shape id="_x0000_i1029" o:spt="75" type="#_x0000_t75" style="height:16.5pt;width:14.5pt;" o:ole="t" filled="f" o:preferrelative="t" stroked="f" coordsize="21600,21600">
                  <v:path/>
                  <v:fill on="f" focussize="0,0"/>
                  <v:stroke on="f" joinstyle="miter"/>
                  <v:imagedata r:id="rId23" o:title=""/>
                  <o:lock v:ext="edit" aspectratio="t"/>
                  <w10:wrap type="none"/>
                  <w10:anchorlock/>
                </v:shape>
                <o:OLEObject Type="Embed" ProgID="Equation.DSMT4" ShapeID="_x0000_i1029" DrawAspect="Content" ObjectID="_1468075729" r:id="rId22">
                  <o:LockedField>false</o:LockedField>
                </o:OLEObject>
              </w:object>
            </w:r>
          </w:p>
        </w:tc>
        <w:tc>
          <w:tcPr>
            <w:tcW w:w="3462" w:type="dxa"/>
            <w:gridSpan w:val="2"/>
            <w:shd w:val="clear" w:color="auto" w:fill="D9D9D9"/>
            <w:vAlign w:val="center"/>
          </w:tcPr>
          <w:p>
            <w:pPr>
              <w:spacing w:before="120" w:after="120"/>
              <w:jc w:val="center"/>
            </w:pPr>
            <w:r>
              <w:rPr>
                <w:rFonts w:cs="Arial"/>
                <w:position w:val="-10"/>
              </w:rPr>
              <w:object>
                <v:shape id="_x0000_i1030" o:spt="75" type="#_x0000_t75" style="height:15.5pt;width:10pt;" o:ole="t" filled="f" o:preferrelative="t" stroked="f" coordsize="21600,21600">
                  <v:path/>
                  <v:fill on="f" focussize="0,0"/>
                  <v:stroke on="f" joinstyle="miter"/>
                  <v:imagedata r:id="rId25" o:title=""/>
                  <o:lock v:ext="edit" aspectratio="t"/>
                  <w10:wrap type="none"/>
                  <w10:anchorlock/>
                </v:shape>
                <o:OLEObject Type="Embed" ProgID="Equation.DSMT4" ShapeID="_x0000_i1030" DrawAspect="Content" ObjectID="_1468075730" r:id="rId24">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95" w:type="dxa"/>
            <w:vMerge w:val="continue"/>
            <w:shd w:val="clear" w:color="auto" w:fill="D9D9D9"/>
            <w:vAlign w:val="center"/>
          </w:tcPr>
          <w:p>
            <w:pPr>
              <w:spacing w:before="120" w:after="120"/>
              <w:jc w:val="center"/>
            </w:pPr>
          </w:p>
        </w:tc>
        <w:tc>
          <w:tcPr>
            <w:tcW w:w="1867" w:type="dxa"/>
            <w:shd w:val="clear" w:color="auto" w:fill="D9D9D9"/>
            <w:vAlign w:val="center"/>
          </w:tcPr>
          <w:p>
            <w:pPr>
              <w:spacing w:before="120" w:after="120"/>
              <w:jc w:val="center"/>
            </w:pPr>
            <w:r>
              <w:rPr>
                <w:rFonts w:hint="eastAsia" w:cs="Arial"/>
                <w:i/>
              </w:rPr>
              <w:t>codebookMode</w:t>
            </w:r>
            <w:r>
              <w:rPr>
                <w:rFonts w:hint="eastAsia" w:cs="Arial"/>
              </w:rPr>
              <w:t>=1</w:t>
            </w:r>
          </w:p>
        </w:tc>
        <w:tc>
          <w:tcPr>
            <w:tcW w:w="2025" w:type="dxa"/>
            <w:shd w:val="clear" w:color="auto" w:fill="D9D9D9"/>
            <w:vAlign w:val="center"/>
          </w:tcPr>
          <w:p>
            <w:pPr>
              <w:spacing w:before="120" w:after="120"/>
              <w:jc w:val="center"/>
            </w:pPr>
            <w:r>
              <w:rPr>
                <w:rFonts w:hint="eastAsia" w:cs="Arial"/>
                <w:i/>
              </w:rPr>
              <w:t>codebookMode</w:t>
            </w:r>
            <w:r>
              <w:rPr>
                <w:rFonts w:hint="eastAsia" w:cs="Arial"/>
              </w:rPr>
              <w:t>=2</w:t>
            </w:r>
          </w:p>
        </w:tc>
        <w:tc>
          <w:tcPr>
            <w:tcW w:w="653" w:type="dxa"/>
            <w:vMerge w:val="continue"/>
            <w:shd w:val="clear" w:color="auto" w:fill="D9D9D9"/>
            <w:vAlign w:val="center"/>
          </w:tcPr>
          <w:p>
            <w:pPr>
              <w:spacing w:before="120" w:after="120"/>
              <w:jc w:val="center"/>
            </w:pPr>
          </w:p>
        </w:tc>
        <w:tc>
          <w:tcPr>
            <w:tcW w:w="1723" w:type="dxa"/>
            <w:shd w:val="clear" w:color="auto" w:fill="D9D9D9"/>
            <w:vAlign w:val="center"/>
          </w:tcPr>
          <w:p>
            <w:pPr>
              <w:spacing w:before="120" w:after="120"/>
              <w:jc w:val="center"/>
              <w:rPr>
                <w:rFonts w:cs="Arial"/>
              </w:rPr>
            </w:pPr>
            <w:r>
              <w:rPr>
                <w:rFonts w:hint="eastAsia" w:cs="Arial"/>
                <w:i/>
              </w:rPr>
              <w:t>codebookMode</w:t>
            </w:r>
            <w:r>
              <w:rPr>
                <w:rFonts w:hint="eastAsia" w:cs="Arial"/>
              </w:rPr>
              <w:t>=1</w:t>
            </w:r>
          </w:p>
        </w:tc>
        <w:tc>
          <w:tcPr>
            <w:tcW w:w="1739" w:type="dxa"/>
            <w:shd w:val="clear" w:color="auto" w:fill="D9D9D9"/>
            <w:vAlign w:val="center"/>
          </w:tcPr>
          <w:p>
            <w:pPr>
              <w:spacing w:before="120" w:after="120"/>
              <w:jc w:val="center"/>
              <w:rPr>
                <w:rFonts w:cs="Arial"/>
              </w:rPr>
            </w:pPr>
            <w:r>
              <w:rPr>
                <w:rFonts w:hint="eastAsia" w:cs="Arial"/>
                <w:i/>
              </w:rPr>
              <w:t>codebookMode</w:t>
            </w:r>
            <w:r>
              <w:rPr>
                <w:rFonts w:hint="eastAsia" w:cs="Aria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95" w:type="dxa"/>
            <w:vAlign w:val="center"/>
          </w:tcPr>
          <w:p>
            <w:pPr>
              <w:spacing w:before="120" w:after="120"/>
              <w:jc w:val="center"/>
            </w:pPr>
            <w:r>
              <w:t>R</w:t>
            </w:r>
            <w:r>
              <w:rPr>
                <w:rFonts w:hint="eastAsia"/>
              </w:rPr>
              <w:t xml:space="preserve">ank = 1 with &gt;2 CSI-RS ports, </w:t>
            </w:r>
            <w:r>
              <w:rPr>
                <w:position w:val="-10"/>
              </w:rPr>
              <w:object>
                <v:shape id="_x0000_i1031" o:spt="75" type="#_x0000_t75" style="height:14.5pt;width:28.5pt;" o:ole="t" filled="f" o:preferrelative="t" stroked="f" coordsize="21600,21600">
                  <v:path/>
                  <v:fill on="f" focussize="0,0"/>
                  <v:stroke on="f" joinstyle="miter"/>
                  <v:imagedata r:id="rId27" o:title=""/>
                  <o:lock v:ext="edit" aspectratio="t"/>
                  <w10:wrap type="none"/>
                  <w10:anchorlock/>
                </v:shape>
                <o:OLEObject Type="Embed" ProgID="Equation.3" ShapeID="_x0000_i1031" DrawAspect="Content" ObjectID="_1468075731" r:id="rId26">
                  <o:LockedField>false</o:LockedField>
                </o:OLEObject>
              </w:object>
            </w:r>
          </w:p>
        </w:tc>
        <w:tc>
          <w:tcPr>
            <w:tcW w:w="1867" w:type="dxa"/>
            <w:vAlign w:val="center"/>
          </w:tcPr>
          <w:p>
            <w:pPr>
              <w:spacing w:before="120" w:after="120"/>
              <w:jc w:val="center"/>
            </w:pPr>
            <w:r>
              <w:rPr>
                <w:rFonts w:hint="eastAsia"/>
              </w:rPr>
              <w:t>(</w:t>
            </w:r>
            <w:r>
              <w:rPr>
                <w:position w:val="-14"/>
              </w:rPr>
              <w:object>
                <v:shape id="_x0000_i1032" o:spt="75" type="#_x0000_t75" style="height:19pt;width:60pt;" o:ole="t" filled="f" o:preferrelative="t" stroked="f" coordsize="21600,21600">
                  <v:path/>
                  <v:fill on="f" focussize="0,0"/>
                  <v:stroke on="f" joinstyle="miter"/>
                  <v:imagedata r:id="rId29" o:title=""/>
                  <o:lock v:ext="edit" aspectratio="t"/>
                  <w10:wrap type="none"/>
                  <w10:anchorlock/>
                </v:shape>
                <o:OLEObject Type="Embed" ProgID="Equation.DSMT4" ShapeID="_x0000_i1032" DrawAspect="Content" ObjectID="_1468075732" r:id="rId28">
                  <o:LockedField>false</o:LockedField>
                </o:OLEObject>
              </w:object>
            </w:r>
            <w:r>
              <w:t>,</w:t>
            </w:r>
            <w:r>
              <w:rPr>
                <w:position w:val="-14"/>
              </w:rPr>
              <w:object>
                <v:shape id="_x0000_i1033" o:spt="75" type="#_x0000_t75" style="height:19pt;width:62pt;" o:ole="t" filled="f" o:preferrelative="t" stroked="f" coordsize="21600,21600">
                  <v:path/>
                  <v:fill on="f" focussize="0,0"/>
                  <v:stroke on="f" joinstyle="miter"/>
                  <v:imagedata r:id="rId31" o:title=""/>
                  <o:lock v:ext="edit" aspectratio="t"/>
                  <w10:wrap type="none"/>
                  <w10:anchorlock/>
                </v:shape>
                <o:OLEObject Type="Embed" ProgID="Equation.DSMT4" ShapeID="_x0000_i1033" DrawAspect="Content" ObjectID="_1468075733" r:id="rId30">
                  <o:LockedField>false</o:LockedField>
                </o:OLEObject>
              </w:object>
            </w:r>
            <w:r>
              <w:t>)</w:t>
            </w:r>
          </w:p>
        </w:tc>
        <w:tc>
          <w:tcPr>
            <w:tcW w:w="2025" w:type="dxa"/>
            <w:vAlign w:val="center"/>
          </w:tcPr>
          <w:p>
            <w:pPr>
              <w:spacing w:before="120" w:after="120"/>
              <w:jc w:val="center"/>
            </w:pPr>
            <w:r>
              <w:t>(</w:t>
            </w:r>
            <w:r>
              <w:rPr>
                <w:position w:val="-28"/>
              </w:rPr>
              <w:object>
                <v:shape id="_x0000_i1034" o:spt="75" type="#_x0000_t75" style="height:33.5pt;width:62pt;" o:ole="t" filled="f" o:preferrelative="t" stroked="f" coordsize="21600,21600">
                  <v:path/>
                  <v:fill on="f" focussize="0,0"/>
                  <v:stroke on="f" joinstyle="miter"/>
                  <v:imagedata r:id="rId33" o:title=""/>
                  <o:lock v:ext="edit" aspectratio="t"/>
                  <w10:wrap type="none"/>
                  <w10:anchorlock/>
                </v:shape>
                <o:OLEObject Type="Embed" ProgID="Equation.DSMT4" ShapeID="_x0000_i1034" DrawAspect="Content" ObjectID="_1468075734" r:id="rId32">
                  <o:LockedField>false</o:LockedField>
                </o:OLEObject>
              </w:object>
            </w:r>
            <w:r>
              <w:t>,</w:t>
            </w:r>
            <w:r>
              <w:rPr>
                <w:position w:val="-28"/>
              </w:rPr>
              <w:object>
                <v:shape id="_x0000_i1035" o:spt="75" type="#_x0000_t75" style="height:33.5pt;width:64.5pt;" o:ole="t" filled="f" o:preferrelative="t" stroked="f" coordsize="21600,21600">
                  <v:path/>
                  <v:fill on="f" focussize="0,0"/>
                  <v:stroke on="f" joinstyle="miter"/>
                  <v:imagedata r:id="rId35" o:title=""/>
                  <o:lock v:ext="edit" aspectratio="t"/>
                  <w10:wrap type="none"/>
                  <w10:anchorlock/>
                </v:shape>
                <o:OLEObject Type="Embed" ProgID="Equation.DSMT4" ShapeID="_x0000_i1035" DrawAspect="Content" ObjectID="_1468075735" r:id="rId34">
                  <o:LockedField>false</o:LockedField>
                </o:OLEObject>
              </w:object>
            </w:r>
            <w:r>
              <w:t>)</w:t>
            </w:r>
          </w:p>
        </w:tc>
        <w:tc>
          <w:tcPr>
            <w:tcW w:w="653" w:type="dxa"/>
            <w:vAlign w:val="center"/>
          </w:tcPr>
          <w:p>
            <w:pPr>
              <w:spacing w:before="120" w:after="120"/>
              <w:jc w:val="center"/>
            </w:pPr>
            <w:r>
              <w:rPr>
                <w:rFonts w:hint="eastAsia"/>
              </w:rPr>
              <w:t>N/A</w:t>
            </w:r>
          </w:p>
        </w:tc>
        <w:tc>
          <w:tcPr>
            <w:tcW w:w="1723" w:type="dxa"/>
            <w:vAlign w:val="center"/>
          </w:tcPr>
          <w:p>
            <w:pPr>
              <w:spacing w:before="120" w:after="120"/>
              <w:jc w:val="center"/>
            </w:pPr>
            <w:r>
              <w:rPr>
                <w:rFonts w:hint="eastAsia"/>
              </w:rPr>
              <w:t>2</w:t>
            </w:r>
          </w:p>
        </w:tc>
        <w:tc>
          <w:tcPr>
            <w:tcW w:w="1739" w:type="dxa"/>
            <w:vAlign w:val="center"/>
          </w:tcPr>
          <w:p>
            <w:pPr>
              <w:spacing w:before="120" w:after="120"/>
              <w:jc w:val="center"/>
            </w:pPr>
            <w:r>
              <w:rPr>
                <w:rFonts w:hint="eastAsia"/>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95" w:type="dxa"/>
            <w:vAlign w:val="center"/>
          </w:tcPr>
          <w:p>
            <w:pPr>
              <w:spacing w:before="120" w:after="120"/>
              <w:jc w:val="center"/>
            </w:pPr>
            <w:r>
              <w:t>R</w:t>
            </w:r>
            <w:r>
              <w:rPr>
                <w:rFonts w:hint="eastAsia"/>
              </w:rPr>
              <w:t xml:space="preserve">ank = 1 with &gt;2 CSI-RS ports, </w:t>
            </w:r>
            <w:r>
              <w:rPr>
                <w:position w:val="-10"/>
              </w:rPr>
              <w:object>
                <v:shape id="_x0000_i1036" o:spt="75" type="#_x0000_t75" style="height:14.5pt;width:28.5pt;" o:ole="t" filled="f" o:preferrelative="t" stroked="f" coordsize="21600,21600">
                  <v:path/>
                  <v:fill on="f" focussize="0,0"/>
                  <v:stroke on="f" joinstyle="miter"/>
                  <v:imagedata r:id="rId37" o:title=""/>
                  <o:lock v:ext="edit" aspectratio="t"/>
                  <w10:wrap type="none"/>
                  <w10:anchorlock/>
                </v:shape>
                <o:OLEObject Type="Embed" ProgID="Equation.3" ShapeID="_x0000_i1036" DrawAspect="Content" ObjectID="_1468075736" r:id="rId36">
                  <o:LockedField>false</o:LockedField>
                </o:OLEObject>
              </w:object>
            </w:r>
          </w:p>
        </w:tc>
        <w:tc>
          <w:tcPr>
            <w:tcW w:w="1867" w:type="dxa"/>
            <w:vAlign w:val="center"/>
          </w:tcPr>
          <w:p>
            <w:pPr>
              <w:spacing w:before="120" w:after="120"/>
              <w:jc w:val="center"/>
            </w:pPr>
            <w:r>
              <w:rPr>
                <w:rFonts w:hint="eastAsia"/>
              </w:rPr>
              <w:t>(</w:t>
            </w:r>
            <w:r>
              <w:rPr>
                <w:position w:val="-14"/>
              </w:rPr>
              <w:object>
                <v:shape id="_x0000_i1037" o:spt="75" type="#_x0000_t75" style="height:19pt;width:60pt;" o:ole="t" filled="f" o:preferrelative="t" stroked="f" coordsize="21600,21600">
                  <v:path/>
                  <v:fill on="f" focussize="0,0"/>
                  <v:stroke on="f" joinstyle="miter"/>
                  <v:imagedata r:id="rId29" o:title=""/>
                  <o:lock v:ext="edit" aspectratio="t"/>
                  <w10:wrap type="none"/>
                  <w10:anchorlock/>
                </v:shape>
                <o:OLEObject Type="Embed" ProgID="Equation.DSMT4" ShapeID="_x0000_i1037" DrawAspect="Content" ObjectID="_1468075737" r:id="rId38">
                  <o:LockedField>false</o:LockedField>
                </o:OLEObject>
              </w:object>
            </w:r>
            <w:r>
              <w:t>,</w:t>
            </w:r>
            <w:r>
              <w:rPr>
                <w:position w:val="-14"/>
              </w:rPr>
              <w:object>
                <v:shape id="_x0000_i1038" o:spt="75" type="#_x0000_t75" style="height:19pt;width:62pt;" o:ole="t" filled="f" o:preferrelative="t" stroked="f" coordsize="21600,21600">
                  <v:path/>
                  <v:fill on="f" focussize="0,0"/>
                  <v:stroke on="f" joinstyle="miter"/>
                  <v:imagedata r:id="rId31" o:title=""/>
                  <o:lock v:ext="edit" aspectratio="t"/>
                  <w10:wrap type="none"/>
                  <w10:anchorlock/>
                </v:shape>
                <o:OLEObject Type="Embed" ProgID="Equation.DSMT4" ShapeID="_x0000_i1038" DrawAspect="Content" ObjectID="_1468075738" r:id="rId39">
                  <o:LockedField>false</o:LockedField>
                </o:OLEObject>
              </w:object>
            </w:r>
            <w:r>
              <w:t>)</w:t>
            </w:r>
          </w:p>
        </w:tc>
        <w:tc>
          <w:tcPr>
            <w:tcW w:w="2025" w:type="dxa"/>
            <w:vAlign w:val="center"/>
          </w:tcPr>
          <w:p>
            <w:pPr>
              <w:spacing w:before="120" w:after="120"/>
              <w:jc w:val="center"/>
            </w:pPr>
            <w:r>
              <w:t>(</w:t>
            </w:r>
            <w:r>
              <w:rPr>
                <w:position w:val="-30"/>
              </w:rPr>
              <w:object>
                <v:shape id="_x0000_i1039" o:spt="75" type="#_x0000_t75" style="height:32pt;width:59pt;" o:ole="t" filled="f" o:preferrelative="t" stroked="f" coordsize="21600,21600">
                  <v:path/>
                  <v:fill on="f" focussize="0,0"/>
                  <v:stroke on="f" joinstyle="miter"/>
                  <v:imagedata r:id="rId41" o:title=""/>
                  <o:lock v:ext="edit" aspectratio="t"/>
                  <w10:wrap type="none"/>
                  <w10:anchorlock/>
                </v:shape>
                <o:OLEObject Type="Embed" ProgID="Equation.3" ShapeID="_x0000_i1039" DrawAspect="Content" ObjectID="_1468075739" r:id="rId40">
                  <o:LockedField>false</o:LockedField>
                </o:OLEObject>
              </w:object>
            </w:r>
            <w:r>
              <w:t>, 0)</w:t>
            </w:r>
          </w:p>
        </w:tc>
        <w:tc>
          <w:tcPr>
            <w:tcW w:w="653" w:type="dxa"/>
            <w:vAlign w:val="center"/>
          </w:tcPr>
          <w:p>
            <w:pPr>
              <w:spacing w:before="120" w:after="120"/>
              <w:jc w:val="center"/>
            </w:pPr>
            <w:r>
              <w:rPr>
                <w:rFonts w:hint="eastAsia"/>
              </w:rPr>
              <w:t>N/A</w:t>
            </w:r>
          </w:p>
        </w:tc>
        <w:tc>
          <w:tcPr>
            <w:tcW w:w="1723" w:type="dxa"/>
            <w:vAlign w:val="center"/>
          </w:tcPr>
          <w:p>
            <w:pPr>
              <w:spacing w:before="120" w:after="120"/>
              <w:jc w:val="center"/>
            </w:pPr>
            <w:r>
              <w:rPr>
                <w:rFonts w:hint="eastAsia"/>
              </w:rPr>
              <w:t>2</w:t>
            </w:r>
          </w:p>
        </w:tc>
        <w:tc>
          <w:tcPr>
            <w:tcW w:w="1739" w:type="dxa"/>
            <w:vAlign w:val="center"/>
          </w:tcPr>
          <w:p>
            <w:pPr>
              <w:spacing w:before="120" w:after="120"/>
              <w:jc w:val="center"/>
            </w:pPr>
            <w:r>
              <w:rPr>
                <w:rFonts w:hint="eastAsia"/>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95" w:type="dxa"/>
            <w:vAlign w:val="center"/>
          </w:tcPr>
          <w:p>
            <w:pPr>
              <w:spacing w:before="120" w:after="120"/>
              <w:jc w:val="center"/>
            </w:pPr>
            <w:r>
              <w:rPr>
                <w:rFonts w:hint="eastAsia"/>
              </w:rPr>
              <w:t xml:space="preserve">Rank=2 with 4 CSI-RS ports, </w:t>
            </w:r>
            <w:r>
              <w:rPr>
                <w:position w:val="-10"/>
              </w:rPr>
              <w:object>
                <v:shape id="_x0000_i1040" o:spt="75" type="#_x0000_t75" style="height:14.5pt;width:28.5pt;" o:ole="t" filled="f" o:preferrelative="t" stroked="f" coordsize="21600,21600">
                  <v:path/>
                  <v:fill on="f" focussize="0,0"/>
                  <v:stroke on="f" joinstyle="miter"/>
                  <v:imagedata r:id="rId43" o:title=""/>
                  <o:lock v:ext="edit" aspectratio="t"/>
                  <w10:wrap type="none"/>
                  <w10:anchorlock/>
                </v:shape>
                <o:OLEObject Type="Embed" ProgID="Equation.3" ShapeID="_x0000_i1040" DrawAspect="Content" ObjectID="_1468075740" r:id="rId42">
                  <o:LockedField>false</o:LockedField>
                </o:OLEObject>
              </w:object>
            </w:r>
          </w:p>
        </w:tc>
        <w:tc>
          <w:tcPr>
            <w:tcW w:w="1867" w:type="dxa"/>
            <w:vAlign w:val="center"/>
          </w:tcPr>
          <w:p>
            <w:pPr>
              <w:spacing w:before="120" w:after="120"/>
              <w:jc w:val="center"/>
            </w:pPr>
            <w:r>
              <w:rPr>
                <w:rFonts w:hint="eastAsia"/>
              </w:rPr>
              <w:t xml:space="preserve"> (</w:t>
            </w:r>
            <w:r>
              <w:rPr>
                <w:position w:val="-14"/>
              </w:rPr>
              <w:object>
                <v:shape id="_x0000_i1041" o:spt="75" type="#_x0000_t75" style="height:19pt;width:60pt;" o:ole="t" filled="f" o:preferrelative="t" stroked="f" coordsize="21600,21600">
                  <v:path/>
                  <v:fill on="f" focussize="0,0"/>
                  <v:stroke on="f" joinstyle="miter"/>
                  <v:imagedata r:id="rId29" o:title=""/>
                  <o:lock v:ext="edit" aspectratio="t"/>
                  <w10:wrap type="none"/>
                  <w10:anchorlock/>
                </v:shape>
                <o:OLEObject Type="Embed" ProgID="Equation.DSMT4" ShapeID="_x0000_i1041" DrawAspect="Content" ObjectID="_1468075741" r:id="rId44">
                  <o:LockedField>false</o:LockedField>
                </o:OLEObject>
              </w:object>
            </w:r>
            <w:r>
              <w:t>,</w:t>
            </w:r>
            <w:r>
              <w:rPr>
                <w:position w:val="-14"/>
              </w:rPr>
              <w:object>
                <v:shape id="_x0000_i1042" o:spt="75" type="#_x0000_t75" style="height:19pt;width:62pt;" o:ole="t" filled="f" o:preferrelative="t" stroked="f" coordsize="21600,21600">
                  <v:path/>
                  <v:fill on="f" focussize="0,0"/>
                  <v:stroke on="f" joinstyle="miter"/>
                  <v:imagedata r:id="rId31" o:title=""/>
                  <o:lock v:ext="edit" aspectratio="t"/>
                  <w10:wrap type="none"/>
                  <w10:anchorlock/>
                </v:shape>
                <o:OLEObject Type="Embed" ProgID="Equation.DSMT4" ShapeID="_x0000_i1042" DrawAspect="Content" ObjectID="_1468075742" r:id="rId45">
                  <o:LockedField>false</o:LockedField>
                </o:OLEObject>
              </w:object>
            </w:r>
            <w:r>
              <w:t>)</w:t>
            </w:r>
          </w:p>
        </w:tc>
        <w:tc>
          <w:tcPr>
            <w:tcW w:w="2025" w:type="dxa"/>
            <w:vAlign w:val="center"/>
          </w:tcPr>
          <w:p>
            <w:pPr>
              <w:spacing w:before="120" w:after="120"/>
              <w:jc w:val="center"/>
            </w:pPr>
            <w:r>
              <w:t>(</w:t>
            </w:r>
            <w:r>
              <w:rPr>
                <w:position w:val="-30"/>
              </w:rPr>
              <w:object>
                <v:shape id="_x0000_i1043" o:spt="75" type="#_x0000_t75" style="height:32pt;width:59pt;" o:ole="t" filled="f" o:preferrelative="t" stroked="f" coordsize="21600,21600">
                  <v:path/>
                  <v:fill on="f" focussize="0,0"/>
                  <v:stroke on="f" joinstyle="miter"/>
                  <v:imagedata r:id="rId47" o:title=""/>
                  <o:lock v:ext="edit" aspectratio="t"/>
                  <w10:wrap type="none"/>
                  <w10:anchorlock/>
                </v:shape>
                <o:OLEObject Type="Embed" ProgID="Equation.3" ShapeID="_x0000_i1043" DrawAspect="Content" ObjectID="_1468075743" r:id="rId46">
                  <o:LockedField>false</o:LockedField>
                </o:OLEObject>
              </w:object>
            </w:r>
            <w:r>
              <w:t>, 0)</w:t>
            </w:r>
          </w:p>
        </w:tc>
        <w:tc>
          <w:tcPr>
            <w:tcW w:w="653" w:type="dxa"/>
            <w:vAlign w:val="center"/>
          </w:tcPr>
          <w:p>
            <w:pPr>
              <w:spacing w:before="120" w:after="120"/>
              <w:jc w:val="center"/>
            </w:pPr>
            <w:r>
              <w:rPr>
                <w:rFonts w:hint="eastAsia"/>
              </w:rPr>
              <w:t>1</w:t>
            </w:r>
          </w:p>
        </w:tc>
        <w:tc>
          <w:tcPr>
            <w:tcW w:w="1723" w:type="dxa"/>
            <w:vAlign w:val="center"/>
          </w:tcPr>
          <w:p>
            <w:pPr>
              <w:spacing w:before="120" w:after="120"/>
              <w:jc w:val="center"/>
            </w:pPr>
            <w:r>
              <w:rPr>
                <w:rFonts w:hint="eastAsia"/>
              </w:rPr>
              <w:t>1</w:t>
            </w:r>
          </w:p>
        </w:tc>
        <w:tc>
          <w:tcPr>
            <w:tcW w:w="1739" w:type="dxa"/>
            <w:vAlign w:val="center"/>
          </w:tcPr>
          <w:p>
            <w:pPr>
              <w:spacing w:before="120" w:after="120"/>
              <w:jc w:val="center"/>
            </w:pPr>
            <w:r>
              <w:rPr>
                <w:rFonts w:hint="eastAsia"/>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95" w:type="dxa"/>
            <w:vAlign w:val="center"/>
          </w:tcPr>
          <w:p>
            <w:pPr>
              <w:spacing w:before="120" w:after="120"/>
              <w:jc w:val="center"/>
            </w:pPr>
            <w:r>
              <w:t>R</w:t>
            </w:r>
            <w:r>
              <w:rPr>
                <w:rFonts w:hint="eastAsia"/>
              </w:rPr>
              <w:t xml:space="preserve">ank=2 with &gt;4 CSI-RS ports, </w:t>
            </w:r>
            <w:r>
              <w:rPr>
                <w:position w:val="-10"/>
              </w:rPr>
              <w:object>
                <v:shape id="_x0000_i1044" o:spt="75" type="#_x0000_t75" style="height:14.5pt;width:28.5pt;" o:ole="t" filled="f" o:preferrelative="t" stroked="f" coordsize="21600,21600">
                  <v:path/>
                  <v:fill on="f" focussize="0,0"/>
                  <v:stroke on="f" joinstyle="miter"/>
                  <v:imagedata r:id="rId49" o:title=""/>
                  <o:lock v:ext="edit" aspectratio="t"/>
                  <w10:wrap type="none"/>
                  <w10:anchorlock/>
                </v:shape>
                <o:OLEObject Type="Embed" ProgID="Equation.3" ShapeID="_x0000_i1044" DrawAspect="Content" ObjectID="_1468075744" r:id="rId48">
                  <o:LockedField>false</o:LockedField>
                </o:OLEObject>
              </w:object>
            </w:r>
          </w:p>
        </w:tc>
        <w:tc>
          <w:tcPr>
            <w:tcW w:w="1867" w:type="dxa"/>
            <w:vAlign w:val="center"/>
          </w:tcPr>
          <w:p>
            <w:pPr>
              <w:spacing w:before="120" w:after="120"/>
              <w:jc w:val="center"/>
            </w:pPr>
            <w:r>
              <w:rPr>
                <w:rFonts w:hint="eastAsia"/>
              </w:rPr>
              <w:t xml:space="preserve"> (</w:t>
            </w:r>
            <w:r>
              <w:rPr>
                <w:position w:val="-14"/>
              </w:rPr>
              <w:object>
                <v:shape id="_x0000_i1045" o:spt="75" type="#_x0000_t75" style="height:19pt;width:60pt;" o:ole="t" filled="f" o:preferrelative="t" stroked="f" coordsize="21600,21600">
                  <v:path/>
                  <v:fill on="f" focussize="0,0"/>
                  <v:stroke on="f" joinstyle="miter"/>
                  <v:imagedata r:id="rId29" o:title=""/>
                  <o:lock v:ext="edit" aspectratio="t"/>
                  <w10:wrap type="none"/>
                  <w10:anchorlock/>
                </v:shape>
                <o:OLEObject Type="Embed" ProgID="Equation.DSMT4" ShapeID="_x0000_i1045" DrawAspect="Content" ObjectID="_1468075745" r:id="rId50">
                  <o:LockedField>false</o:LockedField>
                </o:OLEObject>
              </w:object>
            </w:r>
            <w:r>
              <w:t>,</w:t>
            </w:r>
            <w:r>
              <w:rPr>
                <w:position w:val="-14"/>
              </w:rPr>
              <w:object>
                <v:shape id="_x0000_i1046" o:spt="75" type="#_x0000_t75" style="height:19pt;width:62pt;" o:ole="t" filled="f" o:preferrelative="t" stroked="f" coordsize="21600,21600">
                  <v:path/>
                  <v:fill on="f" focussize="0,0"/>
                  <v:stroke on="f" joinstyle="miter"/>
                  <v:imagedata r:id="rId31" o:title=""/>
                  <o:lock v:ext="edit" aspectratio="t"/>
                  <w10:wrap type="none"/>
                  <w10:anchorlock/>
                </v:shape>
                <o:OLEObject Type="Embed" ProgID="Equation.DSMT4" ShapeID="_x0000_i1046" DrawAspect="Content" ObjectID="_1468075746" r:id="rId51">
                  <o:LockedField>false</o:LockedField>
                </o:OLEObject>
              </w:object>
            </w:r>
            <w:r>
              <w:t>)</w:t>
            </w:r>
          </w:p>
        </w:tc>
        <w:tc>
          <w:tcPr>
            <w:tcW w:w="2025" w:type="dxa"/>
            <w:vAlign w:val="center"/>
          </w:tcPr>
          <w:p>
            <w:pPr>
              <w:spacing w:before="120" w:after="120"/>
              <w:jc w:val="center"/>
            </w:pPr>
            <w:r>
              <w:t>(</w:t>
            </w:r>
            <w:r>
              <w:rPr>
                <w:position w:val="-28"/>
              </w:rPr>
              <w:object>
                <v:shape id="_x0000_i1047" o:spt="75" type="#_x0000_t75" style="height:33.5pt;width:62pt;" o:ole="t" filled="f" o:preferrelative="t" stroked="f" coordsize="21600,21600">
                  <v:path/>
                  <v:fill on="f" focussize="0,0"/>
                  <v:stroke on="f" joinstyle="miter"/>
                  <v:imagedata r:id="rId33" o:title=""/>
                  <o:lock v:ext="edit" aspectratio="t"/>
                  <w10:wrap type="none"/>
                  <w10:anchorlock/>
                </v:shape>
                <o:OLEObject Type="Embed" ProgID="Equation.DSMT4" ShapeID="_x0000_i1047" DrawAspect="Content" ObjectID="_1468075747" r:id="rId52">
                  <o:LockedField>false</o:LockedField>
                </o:OLEObject>
              </w:object>
            </w:r>
            <w:r>
              <w:t>,</w:t>
            </w:r>
            <w:r>
              <w:rPr>
                <w:position w:val="-28"/>
              </w:rPr>
              <w:object>
                <v:shape id="_x0000_i1048" o:spt="75" type="#_x0000_t75" style="height:33.5pt;width:64.5pt;" o:ole="t" filled="f" o:preferrelative="t" stroked="f" coordsize="21600,21600">
                  <v:path/>
                  <v:fill on="f" focussize="0,0"/>
                  <v:stroke on="f" joinstyle="miter"/>
                  <v:imagedata r:id="rId35" o:title=""/>
                  <o:lock v:ext="edit" aspectratio="t"/>
                  <w10:wrap type="none"/>
                  <w10:anchorlock/>
                </v:shape>
                <o:OLEObject Type="Embed" ProgID="Equation.DSMT4" ShapeID="_x0000_i1048" DrawAspect="Content" ObjectID="_1468075748" r:id="rId53">
                  <o:LockedField>false</o:LockedField>
                </o:OLEObject>
              </w:object>
            </w:r>
            <w:r>
              <w:t>)</w:t>
            </w:r>
          </w:p>
        </w:tc>
        <w:tc>
          <w:tcPr>
            <w:tcW w:w="653" w:type="dxa"/>
            <w:vAlign w:val="center"/>
          </w:tcPr>
          <w:p>
            <w:pPr>
              <w:spacing w:before="120" w:after="120"/>
              <w:jc w:val="center"/>
            </w:pPr>
            <w:r>
              <w:rPr>
                <w:rFonts w:hint="eastAsia"/>
              </w:rPr>
              <w:t>2</w:t>
            </w:r>
          </w:p>
        </w:tc>
        <w:tc>
          <w:tcPr>
            <w:tcW w:w="1723" w:type="dxa"/>
            <w:vAlign w:val="center"/>
          </w:tcPr>
          <w:p>
            <w:pPr>
              <w:spacing w:before="120" w:after="120"/>
              <w:jc w:val="center"/>
            </w:pPr>
            <w:r>
              <w:rPr>
                <w:rFonts w:hint="eastAsia"/>
              </w:rPr>
              <w:t>1</w:t>
            </w:r>
          </w:p>
        </w:tc>
        <w:tc>
          <w:tcPr>
            <w:tcW w:w="1739" w:type="dxa"/>
            <w:vAlign w:val="center"/>
          </w:tcPr>
          <w:p>
            <w:pPr>
              <w:spacing w:before="120" w:after="120"/>
              <w:jc w:val="center"/>
            </w:pPr>
            <w:r>
              <w:rPr>
                <w:rFonts w:hint="eastAsia"/>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95" w:type="dxa"/>
            <w:vAlign w:val="center"/>
          </w:tcPr>
          <w:p>
            <w:pPr>
              <w:spacing w:before="120" w:after="120"/>
              <w:jc w:val="center"/>
            </w:pPr>
            <w:r>
              <w:t>R</w:t>
            </w:r>
            <w:r>
              <w:rPr>
                <w:rFonts w:hint="eastAsia"/>
              </w:rPr>
              <w:t xml:space="preserve">ank=2 with &gt;4 CSI-RS ports, </w:t>
            </w:r>
            <w:r>
              <w:rPr>
                <w:position w:val="-10"/>
              </w:rPr>
              <w:object>
                <v:shape id="_x0000_i1049" o:spt="75" type="#_x0000_t75" style="height:14.5pt;width:28.5pt;" o:ole="t" filled="f" o:preferrelative="t" stroked="f" coordsize="21600,21600">
                  <v:path/>
                  <v:fill on="f" focussize="0,0"/>
                  <v:stroke on="f" joinstyle="miter"/>
                  <v:imagedata r:id="rId43" o:title=""/>
                  <o:lock v:ext="edit" aspectratio="t"/>
                  <w10:wrap type="none"/>
                  <w10:anchorlock/>
                </v:shape>
                <o:OLEObject Type="Embed" ProgID="Equation.3" ShapeID="_x0000_i1049" DrawAspect="Content" ObjectID="_1468075749" r:id="rId54">
                  <o:LockedField>false</o:LockedField>
                </o:OLEObject>
              </w:object>
            </w:r>
          </w:p>
        </w:tc>
        <w:tc>
          <w:tcPr>
            <w:tcW w:w="1867" w:type="dxa"/>
            <w:vAlign w:val="center"/>
          </w:tcPr>
          <w:p>
            <w:pPr>
              <w:spacing w:before="120" w:after="120"/>
              <w:jc w:val="center"/>
            </w:pPr>
            <w:r>
              <w:rPr>
                <w:rFonts w:hint="eastAsia"/>
              </w:rPr>
              <w:t>(</w:t>
            </w:r>
            <w:r>
              <w:rPr>
                <w:position w:val="-14"/>
              </w:rPr>
              <w:object>
                <v:shape id="_x0000_i1050" o:spt="75" type="#_x0000_t75" style="height:19pt;width:60pt;" o:ole="t" filled="f" o:preferrelative="t" stroked="f" coordsize="21600,21600">
                  <v:path/>
                  <v:fill on="f" focussize="0,0"/>
                  <v:stroke on="f" joinstyle="miter"/>
                  <v:imagedata r:id="rId29" o:title=""/>
                  <o:lock v:ext="edit" aspectratio="t"/>
                  <w10:wrap type="none"/>
                  <w10:anchorlock/>
                </v:shape>
                <o:OLEObject Type="Embed" ProgID="Equation.DSMT4" ShapeID="_x0000_i1050" DrawAspect="Content" ObjectID="_1468075750" r:id="rId55">
                  <o:LockedField>false</o:LockedField>
                </o:OLEObject>
              </w:object>
            </w:r>
            <w:r>
              <w:t>,</w:t>
            </w:r>
            <w:r>
              <w:rPr>
                <w:position w:val="-14"/>
              </w:rPr>
              <w:object>
                <v:shape id="_x0000_i1051" o:spt="75" type="#_x0000_t75" style="height:19pt;width:62pt;" o:ole="t" filled="f" o:preferrelative="t" stroked="f" coordsize="21600,21600">
                  <v:path/>
                  <v:fill on="f" focussize="0,0"/>
                  <v:stroke on="f" joinstyle="miter"/>
                  <v:imagedata r:id="rId31" o:title=""/>
                  <o:lock v:ext="edit" aspectratio="t"/>
                  <w10:wrap type="none"/>
                  <w10:anchorlock/>
                </v:shape>
                <o:OLEObject Type="Embed" ProgID="Equation.DSMT4" ShapeID="_x0000_i1051" DrawAspect="Content" ObjectID="_1468075751" r:id="rId56">
                  <o:LockedField>false</o:LockedField>
                </o:OLEObject>
              </w:object>
            </w:r>
            <w:r>
              <w:t>)</w:t>
            </w:r>
          </w:p>
        </w:tc>
        <w:tc>
          <w:tcPr>
            <w:tcW w:w="2025" w:type="dxa"/>
            <w:vAlign w:val="center"/>
          </w:tcPr>
          <w:p>
            <w:pPr>
              <w:spacing w:before="120" w:after="120"/>
              <w:jc w:val="center"/>
            </w:pPr>
            <w:r>
              <w:t>(</w:t>
            </w:r>
            <w:r>
              <w:rPr>
                <w:position w:val="-30"/>
              </w:rPr>
              <w:object>
                <v:shape id="_x0000_i1052" o:spt="75" type="#_x0000_t75" style="height:32pt;width:59pt;" o:ole="t" filled="f" o:preferrelative="t" stroked="f" coordsize="21600,21600">
                  <v:path/>
                  <v:fill on="f" focussize="0,0"/>
                  <v:stroke on="f" joinstyle="miter"/>
                  <v:imagedata r:id="rId47" o:title=""/>
                  <o:lock v:ext="edit" aspectratio="t"/>
                  <w10:wrap type="none"/>
                  <w10:anchorlock/>
                </v:shape>
                <o:OLEObject Type="Embed" ProgID="Equation.3" ShapeID="_x0000_i1052" DrawAspect="Content" ObjectID="_1468075752" r:id="rId57">
                  <o:LockedField>false</o:LockedField>
                </o:OLEObject>
              </w:object>
            </w:r>
            <w:r>
              <w:t>, 0)</w:t>
            </w:r>
          </w:p>
        </w:tc>
        <w:tc>
          <w:tcPr>
            <w:tcW w:w="653" w:type="dxa"/>
            <w:vAlign w:val="center"/>
          </w:tcPr>
          <w:p>
            <w:pPr>
              <w:spacing w:before="120" w:after="120"/>
              <w:jc w:val="center"/>
            </w:pPr>
            <w:r>
              <w:rPr>
                <w:rFonts w:hint="eastAsia"/>
              </w:rPr>
              <w:t>2</w:t>
            </w:r>
          </w:p>
        </w:tc>
        <w:tc>
          <w:tcPr>
            <w:tcW w:w="1723" w:type="dxa"/>
            <w:vAlign w:val="center"/>
          </w:tcPr>
          <w:p>
            <w:pPr>
              <w:spacing w:before="120" w:after="120"/>
              <w:jc w:val="center"/>
            </w:pPr>
            <w:r>
              <w:rPr>
                <w:rFonts w:hint="eastAsia"/>
              </w:rPr>
              <w:t>1</w:t>
            </w:r>
          </w:p>
        </w:tc>
        <w:tc>
          <w:tcPr>
            <w:tcW w:w="1739" w:type="dxa"/>
            <w:vAlign w:val="center"/>
          </w:tcPr>
          <w:p>
            <w:pPr>
              <w:spacing w:before="120" w:after="120"/>
              <w:jc w:val="center"/>
            </w:pPr>
            <w:r>
              <w:rPr>
                <w:rFonts w:hint="eastAsia"/>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95" w:type="dxa"/>
            <w:vAlign w:val="center"/>
          </w:tcPr>
          <w:p>
            <w:pPr>
              <w:spacing w:before="120" w:after="120"/>
              <w:jc w:val="center"/>
            </w:pPr>
            <w:r>
              <w:rPr>
                <w:rFonts w:hint="eastAsia"/>
              </w:rPr>
              <w:t xml:space="preserve">Rank=3 or 4, with </w:t>
            </w:r>
            <w:r>
              <w:t>4</w:t>
            </w:r>
            <w:r>
              <w:rPr>
                <w:rFonts w:hint="eastAsia"/>
              </w:rPr>
              <w:t xml:space="preserve"> CSI-RS ports</w:t>
            </w:r>
          </w:p>
        </w:tc>
        <w:tc>
          <w:tcPr>
            <w:tcW w:w="3892" w:type="dxa"/>
            <w:gridSpan w:val="2"/>
            <w:vAlign w:val="center"/>
          </w:tcPr>
          <w:p>
            <w:pPr>
              <w:spacing w:before="120" w:after="120"/>
              <w:jc w:val="center"/>
            </w:pPr>
            <w:r>
              <w:t xml:space="preserve"> </w:t>
            </w:r>
            <w:r>
              <w:rPr>
                <w:rFonts w:hint="eastAsia"/>
              </w:rPr>
              <w:t>(</w:t>
            </w:r>
            <w:r>
              <w:rPr>
                <w:position w:val="-14"/>
              </w:rPr>
              <w:object>
                <v:shape id="_x0000_i1053" o:spt="75" type="#_x0000_t75" style="height:19pt;width:60pt;" o:ole="t" filled="f" o:preferrelative="t" stroked="f" coordsize="21600,21600">
                  <v:path/>
                  <v:fill on="f" focussize="0,0"/>
                  <v:stroke on="f" joinstyle="miter"/>
                  <v:imagedata r:id="rId29" o:title=""/>
                  <o:lock v:ext="edit" aspectratio="t"/>
                  <w10:wrap type="none"/>
                  <w10:anchorlock/>
                </v:shape>
                <o:OLEObject Type="Embed" ProgID="Equation.DSMT4" ShapeID="_x0000_i1053" DrawAspect="Content" ObjectID="_1468075753" r:id="rId58">
                  <o:LockedField>false</o:LockedField>
                </o:OLEObject>
              </w:object>
            </w:r>
            <w:r>
              <w:t>,</w:t>
            </w:r>
            <w:r>
              <w:rPr>
                <w:position w:val="-14"/>
              </w:rPr>
              <w:object>
                <v:shape id="_x0000_i1054" o:spt="75" type="#_x0000_t75" style="height:19pt;width:62pt;" o:ole="t" filled="f" o:preferrelative="t" stroked="f" coordsize="21600,21600">
                  <v:path/>
                  <v:fill on="f" focussize="0,0"/>
                  <v:stroke on="f" joinstyle="miter"/>
                  <v:imagedata r:id="rId31" o:title=""/>
                  <o:lock v:ext="edit" aspectratio="t"/>
                  <w10:wrap type="none"/>
                  <w10:anchorlock/>
                </v:shape>
                <o:OLEObject Type="Embed" ProgID="Equation.DSMT4" ShapeID="_x0000_i1054" DrawAspect="Content" ObjectID="_1468075754" r:id="rId59">
                  <o:LockedField>false</o:LockedField>
                </o:OLEObject>
              </w:object>
            </w:r>
            <w:r>
              <w:t>)</w:t>
            </w:r>
          </w:p>
        </w:tc>
        <w:tc>
          <w:tcPr>
            <w:tcW w:w="653" w:type="dxa"/>
            <w:vAlign w:val="center"/>
          </w:tcPr>
          <w:p>
            <w:pPr>
              <w:spacing w:before="120" w:after="120"/>
              <w:jc w:val="center"/>
            </w:pPr>
            <w:r>
              <w:rPr>
                <w:rFonts w:hint="eastAsia"/>
              </w:rPr>
              <w:t>0</w:t>
            </w:r>
          </w:p>
        </w:tc>
        <w:tc>
          <w:tcPr>
            <w:tcW w:w="3462" w:type="dxa"/>
            <w:gridSpan w:val="2"/>
            <w:vAlign w:val="center"/>
          </w:tcPr>
          <w:p>
            <w:pPr>
              <w:spacing w:before="120" w:after="120"/>
              <w:jc w:val="center"/>
            </w:pPr>
            <w:r>
              <w:rPr>
                <w:rFonts w:hint="eastAsi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95" w:type="dxa"/>
            <w:vAlign w:val="center"/>
          </w:tcPr>
          <w:p>
            <w:pPr>
              <w:spacing w:before="120" w:after="120"/>
              <w:jc w:val="center"/>
            </w:pPr>
            <w:r>
              <w:rPr>
                <w:rFonts w:hint="eastAsia"/>
              </w:rPr>
              <w:t>Rank=3 or 4, with 8 or 12 CSI-RS ports</w:t>
            </w:r>
          </w:p>
        </w:tc>
        <w:tc>
          <w:tcPr>
            <w:tcW w:w="3892" w:type="dxa"/>
            <w:gridSpan w:val="2"/>
            <w:vAlign w:val="center"/>
          </w:tcPr>
          <w:p>
            <w:pPr>
              <w:spacing w:before="120" w:after="120"/>
              <w:jc w:val="center"/>
            </w:pPr>
            <w:r>
              <w:t xml:space="preserve"> </w:t>
            </w:r>
            <w:r>
              <w:rPr>
                <w:rFonts w:hint="eastAsia"/>
              </w:rPr>
              <w:t>(</w:t>
            </w:r>
            <w:r>
              <w:rPr>
                <w:position w:val="-14"/>
              </w:rPr>
              <w:object>
                <v:shape id="_x0000_i1055" o:spt="75" type="#_x0000_t75" style="height:19pt;width:60pt;" o:ole="t" filled="f" o:preferrelative="t" stroked="f" coordsize="21600,21600">
                  <v:path/>
                  <v:fill on="f" focussize="0,0"/>
                  <v:stroke on="f" joinstyle="miter"/>
                  <v:imagedata r:id="rId29" o:title=""/>
                  <o:lock v:ext="edit" aspectratio="t"/>
                  <w10:wrap type="none"/>
                  <w10:anchorlock/>
                </v:shape>
                <o:OLEObject Type="Embed" ProgID="Equation.DSMT4" ShapeID="_x0000_i1055" DrawAspect="Content" ObjectID="_1468075755" r:id="rId60">
                  <o:LockedField>false</o:LockedField>
                </o:OLEObject>
              </w:object>
            </w:r>
            <w:r>
              <w:t>,</w:t>
            </w:r>
            <w:r>
              <w:rPr>
                <w:position w:val="-14"/>
              </w:rPr>
              <w:object>
                <v:shape id="_x0000_i1056" o:spt="75" type="#_x0000_t75" style="height:19pt;width:62pt;" o:ole="t" filled="f" o:preferrelative="t" stroked="f" coordsize="21600,21600">
                  <v:path/>
                  <v:fill on="f" focussize="0,0"/>
                  <v:stroke on="f" joinstyle="miter"/>
                  <v:imagedata r:id="rId31" o:title=""/>
                  <o:lock v:ext="edit" aspectratio="t"/>
                  <w10:wrap type="none"/>
                  <w10:anchorlock/>
                </v:shape>
                <o:OLEObject Type="Embed" ProgID="Equation.DSMT4" ShapeID="_x0000_i1056" DrawAspect="Content" ObjectID="_1468075756" r:id="rId61">
                  <o:LockedField>false</o:LockedField>
                </o:OLEObject>
              </w:object>
            </w:r>
            <w:r>
              <w:t>)</w:t>
            </w:r>
          </w:p>
        </w:tc>
        <w:tc>
          <w:tcPr>
            <w:tcW w:w="653" w:type="dxa"/>
            <w:vAlign w:val="center"/>
          </w:tcPr>
          <w:p>
            <w:pPr>
              <w:spacing w:before="120" w:after="120"/>
              <w:jc w:val="center"/>
            </w:pPr>
            <w:r>
              <w:rPr>
                <w:rFonts w:hint="eastAsia"/>
              </w:rPr>
              <w:t>2</w:t>
            </w:r>
          </w:p>
        </w:tc>
        <w:tc>
          <w:tcPr>
            <w:tcW w:w="3462" w:type="dxa"/>
            <w:gridSpan w:val="2"/>
            <w:vAlign w:val="center"/>
          </w:tcPr>
          <w:p>
            <w:pPr>
              <w:spacing w:before="120" w:after="120"/>
              <w:jc w:val="center"/>
            </w:pPr>
            <w:r>
              <w:rPr>
                <w:rFonts w:hint="eastAsi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95" w:type="dxa"/>
            <w:vAlign w:val="center"/>
          </w:tcPr>
          <w:p>
            <w:pPr>
              <w:spacing w:before="120" w:after="120"/>
              <w:jc w:val="center"/>
            </w:pPr>
            <w:r>
              <w:rPr>
                <w:rFonts w:hint="eastAsia"/>
              </w:rPr>
              <w:t>Rank=3 or 4, with &gt;=16 CSI-RS ports</w:t>
            </w:r>
          </w:p>
        </w:tc>
        <w:tc>
          <w:tcPr>
            <w:tcW w:w="3892" w:type="dxa"/>
            <w:gridSpan w:val="2"/>
            <w:vAlign w:val="center"/>
          </w:tcPr>
          <w:p>
            <w:pPr>
              <w:spacing w:before="120" w:after="120"/>
              <w:jc w:val="center"/>
            </w:pPr>
            <w:r>
              <w:t xml:space="preserve"> (</w:t>
            </w:r>
            <w:r>
              <w:rPr>
                <w:position w:val="-28"/>
              </w:rPr>
              <w:object>
                <v:shape id="_x0000_i1057" o:spt="75" type="#_x0000_t75" style="height:33.5pt;width:62pt;" o:ole="t" filled="f" o:preferrelative="t" stroked="f" coordsize="21600,21600">
                  <v:path/>
                  <v:fill on="f" focussize="0,0"/>
                  <v:stroke on="f" joinstyle="miter"/>
                  <v:imagedata r:id="rId63" o:title=""/>
                  <o:lock v:ext="edit" aspectratio="t"/>
                  <w10:wrap type="none"/>
                  <w10:anchorlock/>
                </v:shape>
                <o:OLEObject Type="Embed" ProgID="Equation.DSMT4" ShapeID="_x0000_i1057" DrawAspect="Content" ObjectID="_1468075757" r:id="rId62">
                  <o:LockedField>false</o:LockedField>
                </o:OLEObject>
              </w:object>
            </w:r>
            <w:r>
              <w:t xml:space="preserve">, </w:t>
            </w:r>
            <w:r>
              <w:rPr>
                <w:position w:val="-14"/>
              </w:rPr>
              <w:object>
                <v:shape id="_x0000_i1058" o:spt="75" type="#_x0000_t75" style="height:19pt;width:62pt;" o:ole="t" filled="f" o:preferrelative="t" stroked="f" coordsize="21600,21600">
                  <v:path/>
                  <v:fill on="f" focussize="0,0"/>
                  <v:stroke on="f" joinstyle="miter"/>
                  <v:imagedata r:id="rId65" o:title=""/>
                  <o:lock v:ext="edit" aspectratio="t"/>
                  <w10:wrap type="none"/>
                  <w10:anchorlock/>
                </v:shape>
                <o:OLEObject Type="Embed" ProgID="Equation.DSMT4" ShapeID="_x0000_i1058" DrawAspect="Content" ObjectID="_1468075758" r:id="rId64">
                  <o:LockedField>false</o:LockedField>
                </o:OLEObject>
              </w:object>
            </w:r>
            <w:r>
              <w:t>)</w:t>
            </w:r>
          </w:p>
        </w:tc>
        <w:tc>
          <w:tcPr>
            <w:tcW w:w="653" w:type="dxa"/>
            <w:vAlign w:val="center"/>
          </w:tcPr>
          <w:p>
            <w:pPr>
              <w:spacing w:before="120" w:after="120"/>
              <w:jc w:val="center"/>
            </w:pPr>
            <w:r>
              <w:rPr>
                <w:rFonts w:hint="eastAsia"/>
              </w:rPr>
              <w:t>2</w:t>
            </w:r>
          </w:p>
        </w:tc>
        <w:tc>
          <w:tcPr>
            <w:tcW w:w="3462" w:type="dxa"/>
            <w:gridSpan w:val="2"/>
            <w:vAlign w:val="center"/>
          </w:tcPr>
          <w:p>
            <w:pPr>
              <w:spacing w:before="120" w:after="120"/>
              <w:jc w:val="center"/>
            </w:pPr>
            <w:r>
              <w:rPr>
                <w:rFonts w:hint="eastAsi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95" w:type="dxa"/>
            <w:vAlign w:val="center"/>
          </w:tcPr>
          <w:p>
            <w:pPr>
              <w:spacing w:before="120" w:after="120"/>
              <w:jc w:val="center"/>
            </w:pPr>
            <w:r>
              <w:rPr>
                <w:rFonts w:hint="eastAsia"/>
              </w:rPr>
              <w:t>...</w:t>
            </w:r>
          </w:p>
        </w:tc>
        <w:tc>
          <w:tcPr>
            <w:tcW w:w="3892" w:type="dxa"/>
            <w:gridSpan w:val="2"/>
            <w:vAlign w:val="center"/>
          </w:tcPr>
          <w:p>
            <w:pPr>
              <w:spacing w:before="120" w:after="120"/>
              <w:jc w:val="center"/>
            </w:pPr>
          </w:p>
        </w:tc>
        <w:tc>
          <w:tcPr>
            <w:tcW w:w="653" w:type="dxa"/>
            <w:vAlign w:val="center"/>
          </w:tcPr>
          <w:p>
            <w:pPr>
              <w:spacing w:before="120" w:after="120"/>
              <w:jc w:val="center"/>
            </w:pPr>
          </w:p>
        </w:tc>
        <w:tc>
          <w:tcPr>
            <w:tcW w:w="3462" w:type="dxa"/>
            <w:gridSpan w:val="2"/>
            <w:vAlign w:val="center"/>
          </w:tcPr>
          <w:p>
            <w:pPr>
              <w:spacing w:before="120" w:after="120"/>
              <w:jc w:val="center"/>
            </w:pPr>
          </w:p>
        </w:tc>
      </w:tr>
    </w:tbl>
    <w:p>
      <w:pPr>
        <w:pStyle w:val="30"/>
        <w:spacing w:before="120" w:after="120"/>
        <w:rPr>
          <w:lang w:val="en-US" w:eastAsia="zh-CN"/>
        </w:rPr>
      </w:pPr>
      <w:bookmarkStart w:id="51" w:name="_Toc29498"/>
      <w:bookmarkStart w:id="52" w:name="_Toc1244"/>
      <w:bookmarkStart w:id="53" w:name="_Toc2427"/>
      <w:r>
        <w:rPr>
          <w:rFonts w:hint="eastAsia"/>
          <w:lang w:val="en-US" w:eastAsia="zh-CN"/>
        </w:rPr>
        <w:t xml:space="preserve">The overhead of PMI is </w:t>
      </w:r>
      <w:r>
        <w:rPr>
          <w:lang w:val="en-US" w:eastAsia="zh-CN"/>
        </w:rPr>
        <w:t>determined by</w:t>
      </w:r>
      <w:r>
        <w:rPr>
          <w:rFonts w:hint="eastAsia"/>
          <w:lang w:val="en-US" w:eastAsia="zh-CN"/>
        </w:rPr>
        <w:t xml:space="preserve"> N1,</w:t>
      </w:r>
      <w:r>
        <w:rPr>
          <w:lang w:val="en-US" w:eastAsia="zh-CN"/>
        </w:rPr>
        <w:t xml:space="preserve"> </w:t>
      </w:r>
      <w:r>
        <w:rPr>
          <w:rFonts w:hint="eastAsia"/>
          <w:lang w:val="en-US" w:eastAsia="zh-CN"/>
        </w:rPr>
        <w:t>N2,</w:t>
      </w:r>
      <w:r>
        <w:rPr>
          <w:lang w:val="en-US" w:eastAsia="zh-CN"/>
        </w:rPr>
        <w:t xml:space="preserve"> </w:t>
      </w:r>
      <w:r>
        <w:rPr>
          <w:rFonts w:hint="eastAsia"/>
          <w:lang w:val="en-US" w:eastAsia="zh-CN"/>
        </w:rPr>
        <w:t>O1,</w:t>
      </w:r>
      <w:r>
        <w:rPr>
          <w:lang w:val="en-US" w:eastAsia="zh-CN"/>
        </w:rPr>
        <w:t xml:space="preserve"> </w:t>
      </w:r>
      <w:r>
        <w:rPr>
          <w:rFonts w:hint="eastAsia"/>
          <w:lang w:val="en-US" w:eastAsia="zh-CN"/>
        </w:rPr>
        <w:t>O2 and the number of subband</w:t>
      </w:r>
      <w:r>
        <w:rPr>
          <w:lang w:val="en-US" w:eastAsia="zh-CN"/>
        </w:rPr>
        <w:t>s</w:t>
      </w:r>
      <w:r>
        <w:rPr>
          <w:rFonts w:hint="eastAsia"/>
          <w:lang w:val="en-US" w:eastAsia="zh-CN"/>
        </w:rPr>
        <w:t>. If multiple PMIs need to be reported</w:t>
      </w:r>
      <w:r>
        <w:rPr>
          <w:lang w:val="en-US" w:eastAsia="zh-CN"/>
        </w:rPr>
        <w:t xml:space="preserve"> for multi-CSI</w:t>
      </w:r>
      <w:r>
        <w:rPr>
          <w:rFonts w:hint="eastAsia"/>
          <w:lang w:val="en-US" w:eastAsia="zh-CN"/>
        </w:rPr>
        <w:t>, the overhead is large.</w:t>
      </w:r>
      <w:bookmarkEnd w:id="51"/>
      <w:bookmarkEnd w:id="52"/>
      <w:bookmarkEnd w:id="53"/>
    </w:p>
    <w:p>
      <w:pPr>
        <w:spacing w:before="120" w:after="120"/>
      </w:pPr>
      <w:r>
        <w:rPr>
          <w:rFonts w:hint="eastAsia"/>
        </w:rPr>
        <w:t xml:space="preserve">Hence, the </w:t>
      </w:r>
      <w:r>
        <w:t>compression</w:t>
      </w:r>
      <w:r>
        <w:rPr>
          <w:rFonts w:hint="eastAsia"/>
        </w:rPr>
        <w:t xml:space="preserve"> </w:t>
      </w:r>
      <w:r>
        <w:t xml:space="preserve">of </w:t>
      </w:r>
      <w:r>
        <w:rPr>
          <w:rFonts w:hint="eastAsia"/>
        </w:rPr>
        <w:t xml:space="preserve">PMI </w:t>
      </w:r>
      <w:r>
        <w:t>payload is beneficial to UCI overhead reduction</w:t>
      </w:r>
      <w:r>
        <w:rPr>
          <w:rFonts w:hint="eastAsia"/>
        </w:rPr>
        <w:t xml:space="preserve">. In the design of precoding matrix, each row corresponds to a CSI-RS port. If a subset ports are used for CSI </w:t>
      </w:r>
      <w:r>
        <w:t>measurement with the help of resource configuration of A1-2</w:t>
      </w:r>
      <w:r>
        <w:rPr>
          <w:rFonts w:hint="eastAsia"/>
        </w:rPr>
        <w:t xml:space="preserve">-revised, </w:t>
      </w:r>
      <w:r>
        <w:t>a promising solution to PMI overhead reduction is to derive the</w:t>
      </w:r>
      <w:r>
        <w:rPr>
          <w:rFonts w:hint="eastAsia"/>
        </w:rPr>
        <w:t xml:space="preserve"> </w:t>
      </w:r>
      <w:r>
        <w:t>PMI</w:t>
      </w:r>
      <w:r>
        <w:rPr>
          <w:rFonts w:hint="eastAsia"/>
        </w:rPr>
        <w:t xml:space="preserve"> </w:t>
      </w:r>
      <w:r>
        <w:t>of</w:t>
      </w:r>
      <w:r>
        <w:rPr>
          <w:rFonts w:hint="eastAsia"/>
        </w:rPr>
        <w:t xml:space="preserve"> smaller number of CSI-RS ports</w:t>
      </w:r>
      <w:r>
        <w:t xml:space="preserve"> via a sub-matrix of the </w:t>
      </w:r>
      <w:r>
        <w:rPr>
          <w:rFonts w:hint="eastAsia"/>
        </w:rPr>
        <w:t>precoding matrix</w:t>
      </w:r>
      <w:r>
        <w:t xml:space="preserve"> corresponding a larger number of ports.</w:t>
      </w:r>
    </w:p>
    <w:p>
      <w:pPr>
        <w:pStyle w:val="37"/>
        <w:keepNext/>
        <w:keepLines/>
        <w:numPr>
          <w:ilvl w:val="0"/>
          <w:numId w:val="1"/>
        </w:numPr>
        <w:pBdr>
          <w:top w:val="single" w:color="auto" w:sz="12" w:space="3"/>
        </w:pBdr>
        <w:spacing w:before="120" w:beforeLines="50" w:after="120"/>
        <w:contextualSpacing w:val="0"/>
        <w:outlineLvl w:val="0"/>
        <w:rPr>
          <w:rFonts w:ascii="Arial" w:hAnsi="Arial" w:eastAsia="MS Mincho"/>
          <w:vanish/>
          <w:sz w:val="32"/>
          <w:szCs w:val="20"/>
        </w:rPr>
      </w:pPr>
    </w:p>
    <w:p>
      <w:pPr>
        <w:pStyle w:val="37"/>
        <w:keepNext/>
        <w:keepLines/>
        <w:numPr>
          <w:ilvl w:val="0"/>
          <w:numId w:val="1"/>
        </w:numPr>
        <w:pBdr>
          <w:top w:val="single" w:color="auto" w:sz="12" w:space="3"/>
        </w:pBdr>
        <w:spacing w:before="120" w:beforeLines="50" w:after="120"/>
        <w:contextualSpacing w:val="0"/>
        <w:outlineLvl w:val="0"/>
        <w:rPr>
          <w:rFonts w:ascii="Arial" w:hAnsi="Arial" w:eastAsia="MS Mincho"/>
          <w:vanish/>
          <w:sz w:val="32"/>
          <w:szCs w:val="20"/>
        </w:rPr>
      </w:pPr>
    </w:p>
    <w:p>
      <w:pPr>
        <w:pStyle w:val="37"/>
        <w:keepNext/>
        <w:keepLines/>
        <w:numPr>
          <w:ilvl w:val="0"/>
          <w:numId w:val="1"/>
        </w:numPr>
        <w:pBdr>
          <w:top w:val="single" w:color="auto" w:sz="12" w:space="3"/>
        </w:pBdr>
        <w:spacing w:before="120" w:beforeLines="50" w:after="120"/>
        <w:contextualSpacing w:val="0"/>
        <w:outlineLvl w:val="0"/>
        <w:rPr>
          <w:rFonts w:ascii="Arial" w:hAnsi="Arial" w:eastAsia="MS Mincho"/>
          <w:vanish/>
          <w:sz w:val="32"/>
          <w:szCs w:val="20"/>
        </w:rPr>
      </w:pPr>
    </w:p>
    <w:p>
      <w:pPr>
        <w:pStyle w:val="37"/>
        <w:keepNext/>
        <w:keepLines/>
        <w:numPr>
          <w:ilvl w:val="1"/>
          <w:numId w:val="1"/>
        </w:numPr>
        <w:spacing w:before="120" w:beforeLines="50" w:after="120"/>
        <w:ind w:right="210" w:rightChars="100"/>
        <w:contextualSpacing w:val="0"/>
        <w:outlineLvl w:val="1"/>
        <w:rPr>
          <w:rFonts w:ascii="Arial" w:hAnsi="Arial" w:eastAsia="MS Mincho"/>
          <w:vanish/>
          <w:sz w:val="28"/>
          <w:szCs w:val="20"/>
        </w:rPr>
      </w:pPr>
    </w:p>
    <w:p>
      <w:pPr>
        <w:pStyle w:val="37"/>
        <w:keepNext/>
        <w:keepLines/>
        <w:numPr>
          <w:ilvl w:val="1"/>
          <w:numId w:val="1"/>
        </w:numPr>
        <w:spacing w:before="120" w:beforeLines="50" w:after="120"/>
        <w:ind w:right="210" w:rightChars="100"/>
        <w:contextualSpacing w:val="0"/>
        <w:outlineLvl w:val="1"/>
        <w:rPr>
          <w:rFonts w:ascii="Arial" w:hAnsi="Arial" w:eastAsia="MS Mincho"/>
          <w:vanish/>
          <w:sz w:val="28"/>
          <w:szCs w:val="20"/>
        </w:rPr>
      </w:pPr>
    </w:p>
    <w:p>
      <w:pPr>
        <w:pStyle w:val="37"/>
        <w:keepNext/>
        <w:keepLines/>
        <w:numPr>
          <w:ilvl w:val="1"/>
          <w:numId w:val="1"/>
        </w:numPr>
        <w:spacing w:before="120" w:beforeLines="50" w:after="120"/>
        <w:ind w:right="210" w:rightChars="100"/>
        <w:contextualSpacing w:val="0"/>
        <w:outlineLvl w:val="1"/>
        <w:rPr>
          <w:rFonts w:ascii="Arial" w:hAnsi="Arial" w:eastAsia="MS Mincho"/>
          <w:vanish/>
          <w:sz w:val="28"/>
          <w:szCs w:val="20"/>
        </w:rPr>
      </w:pPr>
    </w:p>
    <w:p>
      <w:pPr>
        <w:pStyle w:val="5"/>
        <w:numPr>
          <w:ilvl w:val="3"/>
          <w:numId w:val="1"/>
        </w:numPr>
        <w:spacing w:after="120"/>
        <w:ind w:left="0" w:right="210"/>
      </w:pPr>
      <w:r>
        <w:rPr>
          <w:rFonts w:hint="eastAsia"/>
        </w:rPr>
        <w:t xml:space="preserve">Correlation between </w:t>
      </w:r>
      <w:r>
        <w:rPr>
          <w:rFonts w:hint="eastAsia" w:eastAsia="宋体"/>
        </w:rPr>
        <w:t xml:space="preserve">precoding matrices </w:t>
      </w:r>
      <w:r>
        <w:t>of</w:t>
      </w:r>
      <w:r>
        <w:rPr>
          <w:rFonts w:hint="eastAsia"/>
        </w:rPr>
        <w:t xml:space="preserve"> different port numbers</w:t>
      </w:r>
    </w:p>
    <w:p>
      <w:pPr>
        <w:spacing w:before="120" w:after="120"/>
      </w:pPr>
      <w:r>
        <w:rPr>
          <w:rFonts w:hint="eastAsia"/>
        </w:rPr>
        <w:t>In this section, the correlation</w:t>
      </w:r>
      <w:r>
        <w:t xml:space="preserve"> coefficients</w:t>
      </w:r>
      <w:r>
        <w:rPr>
          <w:rFonts w:hint="eastAsia"/>
        </w:rPr>
        <w:t xml:space="preserve"> between precoding </w:t>
      </w:r>
      <w:r>
        <w:rPr>
          <w:rFonts w:hint="eastAsia"/>
          <w:bCs/>
        </w:rPr>
        <w:t xml:space="preserve">matrices </w:t>
      </w:r>
      <w:r>
        <w:t>of</w:t>
      </w:r>
      <w:r>
        <w:rPr>
          <w:rFonts w:hint="eastAsia"/>
        </w:rPr>
        <w:t xml:space="preserve"> different of port numbers are </w:t>
      </w:r>
      <w:r>
        <w:t>evaluated</w:t>
      </w:r>
      <w:r>
        <w:rPr>
          <w:rFonts w:hint="eastAsia"/>
        </w:rPr>
        <w:t>.</w:t>
      </w:r>
    </w:p>
    <w:p>
      <w:pPr>
        <w:spacing w:before="120" w:after="120"/>
        <w:rPr>
          <w:color w:val="FF0000"/>
        </w:rPr>
      </w:pPr>
      <w:r>
        <w:t xml:space="preserve">The correlation coefficient shows the correlation between </w:t>
      </w:r>
      <w:r>
        <w:rPr>
          <w:rFonts w:hint="eastAsia"/>
        </w:rPr>
        <w:t xml:space="preserve">precoding </w:t>
      </w:r>
      <w:r>
        <w:rPr>
          <w:rFonts w:hint="eastAsia"/>
          <w:bCs/>
        </w:rPr>
        <w:t xml:space="preserve">matrices </w:t>
      </w:r>
      <w:r>
        <w:t>of</w:t>
      </w:r>
      <w:r>
        <w:rPr>
          <w:rFonts w:hint="eastAsia"/>
        </w:rPr>
        <w:t xml:space="preserve"> different of port numbers</w:t>
      </w:r>
      <w:r>
        <w:t>, and is</w:t>
      </w:r>
      <w:r>
        <w:rPr>
          <w:rFonts w:hint="eastAsia"/>
        </w:rPr>
        <w:t xml:space="preserve"> computed by corrcoef function in MATLAB. The corrcoed function is</w:t>
      </w:r>
      <w:r>
        <w:t xml:space="preserve"> </w:t>
      </w:r>
      <w:r>
        <w:rPr>
          <w:rFonts w:hint="eastAsia"/>
        </w:rPr>
        <w:t xml:space="preserve">using </w:t>
      </w:r>
      <w:r>
        <w:rPr>
          <w:rFonts w:ascii="Arial" w:hAnsi="Arial" w:cs="Arial"/>
          <w:color w:val="4D4D4D"/>
          <w:position w:val="-12"/>
          <w:sz w:val="24"/>
          <w:szCs w:val="24"/>
          <w:shd w:val="clear" w:color="auto" w:fill="FFFFFF"/>
        </w:rPr>
        <w:object>
          <v:shape id="_x0000_i1059" o:spt="75" type="#_x0000_t75" style="height:18.5pt;width:98pt;" o:ole="t" filled="f" o:preferrelative="t" stroked="f" coordsize="21600,21600">
            <v:path/>
            <v:fill on="f" focussize="0,0"/>
            <v:stroke on="f" joinstyle="miter"/>
            <v:imagedata r:id="rId67" o:title=""/>
            <o:lock v:ext="edit" aspectratio="t"/>
            <w10:wrap type="none"/>
            <w10:anchorlock/>
          </v:shape>
          <o:OLEObject Type="Embed" ProgID="Equation.3" ShapeID="_x0000_i1059" DrawAspect="Content" ObjectID="_1468075759" r:id="rId66">
            <o:LockedField>false</o:LockedField>
          </o:OLEObject>
        </w:object>
      </w:r>
      <w:r>
        <w:rPr>
          <w:rFonts w:hint="eastAsia"/>
        </w:rPr>
        <w:t xml:space="preserve">, wherein C is the covariance matrix of </w:t>
      </w:r>
      <m:oMath>
        <m:sSubSup>
          <m:sSubSupPr>
            <m:ctrlPr>
              <w:rPr>
                <w:rFonts w:ascii="Cambria Math" w:hAnsi="Cambria Math"/>
              </w:rPr>
            </m:ctrlPr>
          </m:sSubSupPr>
          <m:e>
            <m:r>
              <m:rPr>
                <m:sty m:val="p"/>
              </m:rPr>
              <w:rPr>
                <w:rFonts w:hint="eastAsia" w:ascii="Cambria Math" w:hAnsi="Cambria Math"/>
              </w:rPr>
              <m:t>M</m:t>
            </m:r>
            <m:ctrlPr>
              <w:rPr>
                <w:rFonts w:ascii="Cambria Math" w:hAnsi="Cambria Math"/>
              </w:rPr>
            </m:ctrlPr>
          </m:e>
          <m:sub>
            <m:r>
              <w:rPr>
                <w:rFonts w:ascii="Cambria Math" w:hAnsi="Cambria Math"/>
              </w:rPr>
              <m:t>n</m:t>
            </m:r>
            <m:ctrlPr>
              <w:rPr>
                <w:rFonts w:ascii="Cambria Math" w:hAnsi="Cambria Math"/>
              </w:rPr>
            </m:ctrlPr>
          </m:sub>
          <m:sup>
            <m:r>
              <w:rPr>
                <w:rFonts w:ascii="Cambria Math" w:hAnsi="Cambria Math"/>
              </w:rPr>
              <m:t>N</m:t>
            </m:r>
            <m:ctrlPr>
              <w:rPr>
                <w:rFonts w:ascii="Cambria Math" w:hAnsi="Cambria Math"/>
              </w:rPr>
            </m:ctrlPr>
          </m:sup>
        </m:sSubSup>
      </m:oMath>
      <w:r>
        <w:rPr>
          <w:rFonts w:hint="eastAsia"/>
        </w:rPr>
        <w:t xml:space="preserve"> and </w:t>
      </w:r>
      <m:oMath>
        <m:sSubSup>
          <m:sSubSupPr>
            <m:ctrlPr>
              <w:rPr>
                <w:rFonts w:ascii="Cambria Math" w:hAnsi="Cambria Math"/>
              </w:rPr>
            </m:ctrlPr>
          </m:sSubSupPr>
          <m:e>
            <m:r>
              <m:rPr>
                <m:sty m:val="p"/>
              </m:rPr>
              <w:rPr>
                <w:rFonts w:hint="eastAsia" w:ascii="Cambria Math" w:hAnsi="Cambria Math"/>
              </w:rPr>
              <m:t>M</m:t>
            </m:r>
            <m:ctrlPr>
              <w:rPr>
                <w:rFonts w:ascii="Cambria Math" w:hAnsi="Cambria Math"/>
              </w:rPr>
            </m:ctrlPr>
          </m:e>
          <m:sub>
            <m:r>
              <w:rPr>
                <w:rFonts w:ascii="Cambria Math" w:hAnsi="Cambria Math"/>
              </w:rPr>
              <m:t>n</m:t>
            </m:r>
            <m:ctrlPr>
              <w:rPr>
                <w:rFonts w:ascii="Cambria Math" w:hAnsi="Cambria Math"/>
              </w:rPr>
            </m:ctrlPr>
          </m:sub>
          <m:sup>
            <m:ctrlPr>
              <w:rPr>
                <w:rFonts w:ascii="Cambria Math" w:hAnsi="Cambria Math"/>
              </w:rPr>
            </m:ctrlPr>
          </m:sup>
        </m:sSubSup>
      </m:oMath>
      <w:r>
        <w:rPr>
          <w:rFonts w:hint="eastAsia"/>
        </w:rPr>
        <w:t xml:space="preserve">. </w:t>
      </w:r>
      <m:oMath>
        <m:sSubSup>
          <m:sSubSupPr>
            <m:ctrlPr>
              <w:rPr>
                <w:rFonts w:ascii="Cambria Math" w:hAnsi="Cambria Math"/>
              </w:rPr>
            </m:ctrlPr>
          </m:sSubSupPr>
          <m:e>
            <m:r>
              <m:rPr>
                <m:sty m:val="p"/>
              </m:rPr>
              <w:rPr>
                <w:rFonts w:hint="eastAsia" w:ascii="Cambria Math" w:hAnsi="Cambria Math"/>
              </w:rPr>
              <m:t>M</m:t>
            </m:r>
            <m:ctrlPr>
              <w:rPr>
                <w:rFonts w:ascii="Cambria Math" w:hAnsi="Cambria Math"/>
              </w:rPr>
            </m:ctrlPr>
          </m:e>
          <m:sub>
            <m:r>
              <w:rPr>
                <w:rFonts w:ascii="Cambria Math" w:hAnsi="Cambria Math"/>
              </w:rPr>
              <m:t>n</m:t>
            </m:r>
            <m:ctrlPr>
              <w:rPr>
                <w:rFonts w:ascii="Cambria Math" w:hAnsi="Cambria Math"/>
              </w:rPr>
            </m:ctrlPr>
          </m:sub>
          <m:sup>
            <m:r>
              <w:rPr>
                <w:rFonts w:ascii="Cambria Math" w:hAnsi="Cambria Math"/>
              </w:rPr>
              <m:t>N</m:t>
            </m:r>
            <m:ctrlPr>
              <w:rPr>
                <w:rFonts w:ascii="Cambria Math" w:hAnsi="Cambria Math"/>
              </w:rPr>
            </m:ctrlPr>
          </m:sup>
        </m:sSubSup>
      </m:oMath>
      <w:r>
        <w:rPr>
          <w:rFonts w:hint="eastAsia"/>
        </w:rPr>
        <w:t xml:space="preserve"> is the precoding matrix of a smaller number of ports</w:t>
      </w:r>
      <w:r>
        <w:t xml:space="preserve"> (i.e., denoted by n)</w:t>
      </w:r>
      <w:r>
        <w:rPr>
          <w:rFonts w:hint="eastAsia"/>
        </w:rPr>
        <w:t xml:space="preserve"> derived by a precoding matrix of larger number of ports</w:t>
      </w:r>
      <w:r>
        <w:t xml:space="preserve"> (i.e., denoted by N)</w:t>
      </w:r>
      <w:r>
        <w:rPr>
          <w:rFonts w:hint="eastAsia"/>
        </w:rPr>
        <w:t>,</w:t>
      </w:r>
      <w:r>
        <w:t xml:space="preserve"> </w:t>
      </w:r>
      <w:r>
        <w:rPr>
          <w:rFonts w:hint="eastAsia"/>
        </w:rPr>
        <w:t xml:space="preserve">e.g., </w:t>
      </w:r>
      <w:r>
        <w:t xml:space="preserve">deriving precoding matrix of 16 ports from precoding matrix of </w:t>
      </w:r>
      <w:r>
        <w:rPr>
          <w:rFonts w:hint="eastAsia"/>
        </w:rPr>
        <w:t>32 ports, and</w:t>
      </w:r>
      <m:oMath>
        <m:sSubSup>
          <m:sSubSupPr>
            <m:ctrlPr>
              <w:rPr>
                <w:rFonts w:ascii="Cambria Math" w:hAnsi="Cambria Math"/>
              </w:rPr>
            </m:ctrlPr>
          </m:sSubSupPr>
          <m:e>
            <m:r>
              <m:rPr>
                <m:sty m:val="p"/>
              </m:rPr>
              <w:rPr>
                <w:rFonts w:hint="eastAsia" w:ascii="Cambria Math" w:hAnsi="Cambria Math"/>
              </w:rPr>
              <m:t>M</m:t>
            </m:r>
            <m:ctrlPr>
              <w:rPr>
                <w:rFonts w:ascii="Cambria Math" w:hAnsi="Cambria Math"/>
              </w:rPr>
            </m:ctrlPr>
          </m:e>
          <m:sub>
            <m:r>
              <w:rPr>
                <w:rFonts w:ascii="Cambria Math" w:hAnsi="Cambria Math"/>
              </w:rPr>
              <m:t>n</m:t>
            </m:r>
            <m:ctrlPr>
              <w:rPr>
                <w:rFonts w:ascii="Cambria Math" w:hAnsi="Cambria Math"/>
              </w:rPr>
            </m:ctrlPr>
          </m:sub>
          <m:sup>
            <m:ctrlPr>
              <w:rPr>
                <w:rFonts w:ascii="Cambria Math" w:hAnsi="Cambria Math"/>
              </w:rPr>
            </m:ctrlPr>
          </m:sup>
        </m:sSubSup>
      </m:oMath>
      <w:r>
        <w:rPr>
          <w:rFonts w:hint="eastAsia"/>
        </w:rPr>
        <w:t xml:space="preserve"> is the real precoding matrix of a smaller number of ports</w:t>
      </w:r>
      <w:r>
        <w:t xml:space="preserve"> </w:t>
      </w:r>
      <w:r>
        <w:rPr>
          <w:rFonts w:hint="eastAsia"/>
        </w:rPr>
        <w:t>(</w:t>
      </w:r>
      <w:r>
        <w:t xml:space="preserve">denoted by n, </w:t>
      </w:r>
      <w:r>
        <w:rPr>
          <w:rFonts w:hint="eastAsia"/>
        </w:rPr>
        <w:t>e.g, 16 ports).</w:t>
      </w:r>
    </w:p>
    <w:p>
      <w:pPr>
        <w:spacing w:before="120" w:after="120"/>
      </w:pPr>
      <w:r>
        <w:t xml:space="preserve">In the evaluation, it assumed that the gNB antenna configuration is adapted from </w:t>
      </w:r>
      <w:r>
        <w:rPr>
          <w:rFonts w:hint="eastAsia"/>
        </w:rPr>
        <w:t>32 ports</w:t>
      </w:r>
      <w:r>
        <w:t xml:space="preserve"> to 16</w:t>
      </w:r>
      <w:r>
        <w:rPr>
          <w:rFonts w:hint="eastAsia"/>
        </w:rPr>
        <w:t xml:space="preserve"> </w:t>
      </w:r>
      <w:r>
        <w:t xml:space="preserve">or 24 </w:t>
      </w:r>
      <w:r>
        <w:rPr>
          <w:rFonts w:hint="eastAsia"/>
        </w:rPr>
        <w:t>ports</w:t>
      </w:r>
      <w:r>
        <w:t xml:space="preserve">, where the muting pattern is shown in Figure </w:t>
      </w:r>
      <w:r>
        <w:rPr>
          <w:rFonts w:hint="eastAsia"/>
        </w:rPr>
        <w:t>5</w:t>
      </w:r>
      <w:r>
        <w:t xml:space="preserve">, Figure </w:t>
      </w:r>
      <w:r>
        <w:rPr>
          <w:rFonts w:hint="eastAsia"/>
        </w:rPr>
        <w:t>6, and Figure 7</w:t>
      </w:r>
      <w:r>
        <w:t>.</w:t>
      </w:r>
      <w:r>
        <w:rPr>
          <w:rFonts w:hint="eastAsia"/>
        </w:rPr>
        <w:t xml:space="preserve"> For gNB antenna configuration adapts from 32 ports to 16 ports, both </w:t>
      </w:r>
      <w:r>
        <w:t xml:space="preserve">4×4 </w:t>
      </w:r>
      <w:r>
        <w:rPr>
          <w:rFonts w:hint="eastAsia"/>
        </w:rPr>
        <w:t xml:space="preserve">and </w:t>
      </w:r>
      <w:r>
        <w:t>8×2</w:t>
      </w:r>
      <w:r>
        <w:rPr>
          <w:rFonts w:hint="eastAsia"/>
        </w:rPr>
        <w:t xml:space="preserve"> antenna arrays are evaluated.</w:t>
      </w:r>
    </w:p>
    <w:p>
      <w:pPr>
        <w:spacing w:before="120" w:after="120"/>
        <w:jc w:val="center"/>
      </w:pPr>
      <w:r>
        <w:drawing>
          <wp:inline distT="0" distB="0" distL="0" distR="0">
            <wp:extent cx="3271520" cy="940435"/>
            <wp:effectExtent l="0" t="0" r="5080" b="12065"/>
            <wp:docPr id="25" name="图片 25" descr="C:\Users\00206166\AppData\Local\Temp\ksohtml14640\wps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descr="C:\Users\00206166\AppData\Local\Temp\ksohtml14640\wps1.jpg"/>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a:xfrm>
                      <a:off x="0" y="0"/>
                      <a:ext cx="3271520" cy="940435"/>
                    </a:xfrm>
                    <a:prstGeom prst="rect">
                      <a:avLst/>
                    </a:prstGeom>
                    <a:noFill/>
                    <a:ln>
                      <a:noFill/>
                    </a:ln>
                  </pic:spPr>
                </pic:pic>
              </a:graphicData>
            </a:graphic>
          </wp:inline>
        </w:drawing>
      </w:r>
    </w:p>
    <w:p>
      <w:pPr>
        <w:pStyle w:val="59"/>
        <w:spacing w:before="120" w:after="120"/>
        <w:rPr>
          <w:rFonts w:hint="default"/>
        </w:rPr>
      </w:pPr>
      <w:r>
        <w:t>Antenna muting pattern 1: adaptation from 32 ports to 16 ports (</w:t>
      </w:r>
      <w:r>
        <w:rPr>
          <w:rFonts w:hint="default"/>
        </w:rPr>
        <w:t>8</w:t>
      </w:r>
      <w:r>
        <w:t>×2)</w:t>
      </w:r>
    </w:p>
    <w:p>
      <w:pPr>
        <w:spacing w:before="120" w:after="120"/>
        <w:jc w:val="center"/>
      </w:pPr>
      <w:r>
        <w:drawing>
          <wp:inline distT="0" distB="0" distL="0" distR="0">
            <wp:extent cx="3400425" cy="968375"/>
            <wp:effectExtent l="0" t="0" r="9525" b="3175"/>
            <wp:docPr id="26"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72"/>
                    <pic:cNvPicPr>
                      <a:picLocks noChangeAspect="1"/>
                    </pic:cNvPicPr>
                  </pic:nvPicPr>
                  <pic:blipFill>
                    <a:blip r:embed="rId69"/>
                    <a:stretch>
                      <a:fillRect/>
                    </a:stretch>
                  </pic:blipFill>
                  <pic:spPr>
                    <a:xfrm>
                      <a:off x="0" y="0"/>
                      <a:ext cx="3406691" cy="970698"/>
                    </a:xfrm>
                    <a:prstGeom prst="rect">
                      <a:avLst/>
                    </a:prstGeom>
                    <a:noFill/>
                    <a:ln>
                      <a:noFill/>
                    </a:ln>
                  </pic:spPr>
                </pic:pic>
              </a:graphicData>
            </a:graphic>
          </wp:inline>
        </w:drawing>
      </w:r>
    </w:p>
    <w:p>
      <w:pPr>
        <w:pStyle w:val="59"/>
        <w:spacing w:before="120" w:after="120"/>
        <w:rPr>
          <w:rFonts w:hint="default"/>
        </w:rPr>
      </w:pPr>
      <w:r>
        <w:t>Antenna muting pattern 2: adaptation from 32 ports to 24 ports (</w:t>
      </w:r>
      <w:r>
        <w:rPr>
          <w:rFonts w:hint="default"/>
        </w:rPr>
        <w:t>8</w:t>
      </w:r>
      <w:r>
        <w:t>×2)</w:t>
      </w:r>
    </w:p>
    <w:p>
      <w:pPr>
        <w:spacing w:before="120" w:after="120"/>
        <w:jc w:val="center"/>
      </w:pPr>
      <w:r>
        <w:drawing>
          <wp:inline distT="0" distB="0" distL="114300" distR="114300">
            <wp:extent cx="1836420" cy="1532890"/>
            <wp:effectExtent l="0" t="0" r="11430" b="10160"/>
            <wp:docPr id="28"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45"/>
                    <pic:cNvPicPr>
                      <a:picLocks noChangeAspect="1"/>
                    </pic:cNvPicPr>
                  </pic:nvPicPr>
                  <pic:blipFill>
                    <a:blip r:embed="rId70"/>
                    <a:stretch>
                      <a:fillRect/>
                    </a:stretch>
                  </pic:blipFill>
                  <pic:spPr>
                    <a:xfrm>
                      <a:off x="0" y="0"/>
                      <a:ext cx="1836420" cy="1532890"/>
                    </a:xfrm>
                    <a:prstGeom prst="rect">
                      <a:avLst/>
                    </a:prstGeom>
                    <a:noFill/>
                    <a:ln>
                      <a:noFill/>
                    </a:ln>
                  </pic:spPr>
                </pic:pic>
              </a:graphicData>
            </a:graphic>
          </wp:inline>
        </w:drawing>
      </w:r>
    </w:p>
    <w:p>
      <w:pPr>
        <w:pStyle w:val="59"/>
        <w:spacing w:before="120" w:after="120"/>
        <w:rPr>
          <w:rFonts w:hint="default"/>
        </w:rPr>
      </w:pPr>
      <w:r>
        <w:t>Antenna muting pattern 3: adaptation from 32 ports to 16 ports (4×4)</w:t>
      </w:r>
    </w:p>
    <w:p>
      <w:pPr>
        <w:spacing w:before="120" w:after="120"/>
      </w:pPr>
      <w:r>
        <w:rPr>
          <w:rFonts w:hint="eastAsia"/>
        </w:rPr>
        <w:t xml:space="preserve">The </w:t>
      </w:r>
      <w:r>
        <w:t xml:space="preserve">evaluated correlation coefficients between </w:t>
      </w:r>
      <w:r>
        <w:rPr>
          <w:rFonts w:hint="eastAsia"/>
        </w:rPr>
        <w:t xml:space="preserve">matrix </w:t>
      </w:r>
      <m:oMath>
        <m:sSubSup>
          <m:sSubSupPr>
            <m:ctrlPr>
              <w:rPr>
                <w:rFonts w:ascii="Cambria Math" w:hAnsi="Cambria Math"/>
              </w:rPr>
            </m:ctrlPr>
          </m:sSubSupPr>
          <m:e>
            <m:r>
              <m:rPr>
                <m:sty m:val="p"/>
              </m:rPr>
              <w:rPr>
                <w:rFonts w:hint="eastAsia" w:ascii="Cambria Math" w:hAnsi="Cambria Math"/>
              </w:rPr>
              <m:t>M</m:t>
            </m:r>
            <m:ctrlPr>
              <w:rPr>
                <w:rFonts w:ascii="Cambria Math" w:hAnsi="Cambria Math"/>
              </w:rPr>
            </m:ctrlPr>
          </m:e>
          <m:sub>
            <m:r>
              <w:rPr>
                <w:rFonts w:ascii="Cambria Math" w:hAnsi="Cambria Math"/>
              </w:rPr>
              <m:t>n</m:t>
            </m:r>
            <m:ctrlPr>
              <w:rPr>
                <w:rFonts w:ascii="Cambria Math" w:hAnsi="Cambria Math"/>
              </w:rPr>
            </m:ctrlPr>
          </m:sub>
          <m:sup>
            <m:r>
              <w:rPr>
                <w:rFonts w:ascii="Cambria Math" w:hAnsi="Cambria Math"/>
              </w:rPr>
              <m:t>N</m:t>
            </m:r>
            <m:ctrlPr>
              <w:rPr>
                <w:rFonts w:ascii="Cambria Math" w:hAnsi="Cambria Math"/>
              </w:rPr>
            </m:ctrlPr>
          </m:sup>
        </m:sSubSup>
      </m:oMath>
      <w:r>
        <w:t xml:space="preserve"> and </w:t>
      </w:r>
      <w:r>
        <w:rPr>
          <w:rFonts w:hint="eastAsia"/>
        </w:rPr>
        <w:t xml:space="preserve">matrix </w:t>
      </w:r>
      <m:oMath>
        <m:sSubSup>
          <m:sSubSupPr>
            <m:ctrlPr>
              <w:rPr>
                <w:rFonts w:ascii="Cambria Math" w:hAnsi="Cambria Math"/>
              </w:rPr>
            </m:ctrlPr>
          </m:sSubSupPr>
          <m:e>
            <m:r>
              <m:rPr>
                <m:sty m:val="p"/>
              </m:rPr>
              <w:rPr>
                <w:rFonts w:hint="eastAsia" w:ascii="Cambria Math" w:hAnsi="Cambria Math"/>
              </w:rPr>
              <m:t>M</m:t>
            </m:r>
            <m:ctrlPr>
              <w:rPr>
                <w:rFonts w:ascii="Cambria Math" w:hAnsi="Cambria Math"/>
              </w:rPr>
            </m:ctrlPr>
          </m:e>
          <m:sub>
            <m:r>
              <w:rPr>
                <w:rFonts w:ascii="Cambria Math" w:hAnsi="Cambria Math"/>
              </w:rPr>
              <m:t>n</m:t>
            </m:r>
            <m:ctrlPr>
              <w:rPr>
                <w:rFonts w:ascii="Cambria Math" w:hAnsi="Cambria Math"/>
              </w:rPr>
            </m:ctrlPr>
          </m:sub>
          <m:sup>
            <m:ctrlPr>
              <w:rPr>
                <w:rFonts w:ascii="Cambria Math" w:hAnsi="Cambria Math"/>
              </w:rPr>
            </m:ctrlPr>
          </m:sup>
        </m:sSubSup>
      </m:oMath>
      <w:r>
        <w:t xml:space="preserve"> for gNB antenna configuration adaption from </w:t>
      </w:r>
      <w:r>
        <w:rPr>
          <w:rFonts w:hint="eastAsia"/>
        </w:rPr>
        <w:t>32 ports</w:t>
      </w:r>
      <w:r>
        <w:t xml:space="preserve"> to 16</w:t>
      </w:r>
      <w:r>
        <w:rPr>
          <w:rFonts w:hint="eastAsia"/>
        </w:rPr>
        <w:t xml:space="preserve"> </w:t>
      </w:r>
      <w:r>
        <w:t xml:space="preserve">or 24 </w:t>
      </w:r>
      <w:r>
        <w:rPr>
          <w:rFonts w:hint="eastAsia"/>
        </w:rPr>
        <w:t>ports</w:t>
      </w:r>
      <w:r>
        <w:t xml:space="preserve"> are shown in Figure </w:t>
      </w:r>
      <w:r>
        <w:rPr>
          <w:rFonts w:hint="eastAsia"/>
        </w:rPr>
        <w:t>8, Figure 9,</w:t>
      </w:r>
      <w:r>
        <w:t xml:space="preserve"> and Figure </w:t>
      </w:r>
      <w:r>
        <w:rPr>
          <w:rFonts w:hint="eastAsia"/>
        </w:rPr>
        <w:t>10</w:t>
      </w:r>
      <w:r>
        <w:t xml:space="preserve">, respectively. </w:t>
      </w:r>
      <w:r>
        <w:rPr>
          <w:rFonts w:hint="eastAsia"/>
        </w:rPr>
        <w:t xml:space="preserve">The rank is fixed in </w:t>
      </w:r>
      <w:r>
        <w:t>the</w:t>
      </w:r>
      <w:r>
        <w:rPr>
          <w:rFonts w:hint="eastAsia"/>
        </w:rPr>
        <w:t xml:space="preserve"> simulation</w:t>
      </w:r>
      <w:r>
        <w:t xml:space="preserve"> in this section.</w:t>
      </w:r>
    </w:p>
    <w:tbl>
      <w:tblPr>
        <w:tblStyle w:val="19"/>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938"/>
        <w:gridCol w:w="493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938" w:type="dxa"/>
            <w:vAlign w:val="center"/>
          </w:tcPr>
          <w:p>
            <w:pPr>
              <w:spacing w:before="120" w:after="120"/>
              <w:jc w:val="center"/>
            </w:pPr>
            <w:r>
              <w:drawing>
                <wp:inline distT="0" distB="0" distL="114300" distR="114300">
                  <wp:extent cx="2882265" cy="2160270"/>
                  <wp:effectExtent l="0" t="0" r="0" b="0"/>
                  <wp:docPr id="29"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42"/>
                          <pic:cNvPicPr>
                            <a:picLocks noChangeAspect="1"/>
                          </pic:cNvPicPr>
                        </pic:nvPicPr>
                        <pic:blipFill>
                          <a:blip r:embed="rId71"/>
                          <a:stretch>
                            <a:fillRect/>
                          </a:stretch>
                        </pic:blipFill>
                        <pic:spPr>
                          <a:xfrm>
                            <a:off x="0" y="0"/>
                            <a:ext cx="2882265" cy="2160270"/>
                          </a:xfrm>
                          <a:prstGeom prst="rect">
                            <a:avLst/>
                          </a:prstGeom>
                          <a:noFill/>
                          <a:ln>
                            <a:noFill/>
                          </a:ln>
                        </pic:spPr>
                      </pic:pic>
                    </a:graphicData>
                  </a:graphic>
                </wp:inline>
              </w:drawing>
            </w:r>
          </w:p>
        </w:tc>
        <w:tc>
          <w:tcPr>
            <w:tcW w:w="4938" w:type="dxa"/>
            <w:vAlign w:val="center"/>
          </w:tcPr>
          <w:p>
            <w:pPr>
              <w:spacing w:before="120" w:after="120"/>
              <w:jc w:val="center"/>
            </w:pPr>
            <w:r>
              <w:drawing>
                <wp:inline distT="0" distB="0" distL="114300" distR="114300">
                  <wp:extent cx="2882265" cy="2160270"/>
                  <wp:effectExtent l="0" t="0" r="0" b="0"/>
                  <wp:docPr id="34"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43"/>
                          <pic:cNvPicPr>
                            <a:picLocks noChangeAspect="1"/>
                          </pic:cNvPicPr>
                        </pic:nvPicPr>
                        <pic:blipFill>
                          <a:blip r:embed="rId72"/>
                          <a:stretch>
                            <a:fillRect/>
                          </a:stretch>
                        </pic:blipFill>
                        <pic:spPr>
                          <a:xfrm>
                            <a:off x="0" y="0"/>
                            <a:ext cx="2882265" cy="2160270"/>
                          </a:xfrm>
                          <a:prstGeom prst="rect">
                            <a:avLst/>
                          </a:prstGeom>
                          <a:noFill/>
                          <a:ln>
                            <a:noFill/>
                          </a:ln>
                        </pic:spPr>
                      </pic:pic>
                    </a:graphicData>
                  </a:graphic>
                </wp:inline>
              </w:drawing>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938" w:type="dxa"/>
            <w:vAlign w:val="center"/>
          </w:tcPr>
          <w:p>
            <w:pPr>
              <w:pStyle w:val="16"/>
              <w:spacing w:before="120" w:after="120"/>
              <w:jc w:val="center"/>
            </w:pPr>
            <w:r>
              <w:rPr>
                <w:rFonts w:hint="eastAsia"/>
                <w:kern w:val="2"/>
                <w:sz w:val="18"/>
                <w:szCs w:val="16"/>
              </w:rPr>
              <w:t>(a) Rank = 1</w:t>
            </w:r>
          </w:p>
        </w:tc>
        <w:tc>
          <w:tcPr>
            <w:tcW w:w="4938" w:type="dxa"/>
            <w:vAlign w:val="center"/>
          </w:tcPr>
          <w:p>
            <w:pPr>
              <w:spacing w:before="120" w:after="120"/>
              <w:jc w:val="center"/>
            </w:pPr>
            <w:r>
              <w:rPr>
                <w:rFonts w:hint="eastAsia"/>
                <w:sz w:val="18"/>
                <w:szCs w:val="16"/>
              </w:rPr>
              <w:t>(b) Rank = 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938" w:type="dxa"/>
            <w:vAlign w:val="center"/>
          </w:tcPr>
          <w:p>
            <w:pPr>
              <w:pStyle w:val="16"/>
              <w:spacing w:before="120" w:after="120"/>
              <w:jc w:val="center"/>
              <w:rPr>
                <w:kern w:val="2"/>
                <w:sz w:val="18"/>
                <w:szCs w:val="16"/>
              </w:rPr>
            </w:pPr>
            <w:r>
              <w:drawing>
                <wp:inline distT="0" distB="0" distL="114300" distR="114300">
                  <wp:extent cx="2882265" cy="2160270"/>
                  <wp:effectExtent l="0" t="0" r="0" b="0"/>
                  <wp:docPr id="35"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44"/>
                          <pic:cNvPicPr>
                            <a:picLocks noChangeAspect="1"/>
                          </pic:cNvPicPr>
                        </pic:nvPicPr>
                        <pic:blipFill>
                          <a:blip r:embed="rId73"/>
                          <a:stretch>
                            <a:fillRect/>
                          </a:stretch>
                        </pic:blipFill>
                        <pic:spPr>
                          <a:xfrm>
                            <a:off x="0" y="0"/>
                            <a:ext cx="2882265" cy="2160270"/>
                          </a:xfrm>
                          <a:prstGeom prst="rect">
                            <a:avLst/>
                          </a:prstGeom>
                          <a:noFill/>
                          <a:ln>
                            <a:noFill/>
                          </a:ln>
                        </pic:spPr>
                      </pic:pic>
                    </a:graphicData>
                  </a:graphic>
                </wp:inline>
              </w:drawing>
            </w:r>
          </w:p>
        </w:tc>
        <w:tc>
          <w:tcPr>
            <w:tcW w:w="4938" w:type="dxa"/>
            <w:vAlign w:val="center"/>
          </w:tcPr>
          <w:p>
            <w:pPr>
              <w:spacing w:before="120" w:after="120"/>
              <w:jc w:val="center"/>
              <w:rPr>
                <w:sz w:val="18"/>
                <w:szCs w:val="16"/>
              </w:rPr>
            </w:pPr>
            <w:r>
              <w:drawing>
                <wp:inline distT="0" distB="0" distL="114300" distR="114300">
                  <wp:extent cx="2882265" cy="2160270"/>
                  <wp:effectExtent l="0" t="0" r="0" b="0"/>
                  <wp:docPr id="36"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45"/>
                          <pic:cNvPicPr>
                            <a:picLocks noChangeAspect="1"/>
                          </pic:cNvPicPr>
                        </pic:nvPicPr>
                        <pic:blipFill>
                          <a:blip r:embed="rId74"/>
                          <a:stretch>
                            <a:fillRect/>
                          </a:stretch>
                        </pic:blipFill>
                        <pic:spPr>
                          <a:xfrm>
                            <a:off x="0" y="0"/>
                            <a:ext cx="2882265" cy="2160270"/>
                          </a:xfrm>
                          <a:prstGeom prst="rect">
                            <a:avLst/>
                          </a:prstGeom>
                          <a:noFill/>
                          <a:ln>
                            <a:noFill/>
                          </a:ln>
                        </pic:spPr>
                      </pic:pic>
                    </a:graphicData>
                  </a:graphic>
                </wp:inline>
              </w:drawing>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4938" w:type="dxa"/>
            <w:vAlign w:val="center"/>
          </w:tcPr>
          <w:p>
            <w:pPr>
              <w:pStyle w:val="16"/>
              <w:spacing w:before="120" w:after="120"/>
              <w:jc w:val="center"/>
              <w:rPr>
                <w:kern w:val="2"/>
              </w:rPr>
            </w:pPr>
            <w:r>
              <w:rPr>
                <w:rFonts w:hint="eastAsia"/>
                <w:kern w:val="2"/>
                <w:sz w:val="18"/>
                <w:szCs w:val="16"/>
              </w:rPr>
              <w:t>(c) Rank = 3</w:t>
            </w:r>
          </w:p>
        </w:tc>
        <w:tc>
          <w:tcPr>
            <w:tcW w:w="4938" w:type="dxa"/>
            <w:vAlign w:val="center"/>
          </w:tcPr>
          <w:p>
            <w:pPr>
              <w:spacing w:before="120" w:after="120"/>
              <w:jc w:val="center"/>
            </w:pPr>
            <w:r>
              <w:rPr>
                <w:rFonts w:hint="eastAsia"/>
                <w:sz w:val="18"/>
                <w:szCs w:val="16"/>
              </w:rPr>
              <w:t>(d) Rank = 4</w:t>
            </w:r>
          </w:p>
        </w:tc>
      </w:tr>
    </w:tbl>
    <w:p>
      <w:pPr>
        <w:pStyle w:val="59"/>
        <w:spacing w:before="120" w:after="120"/>
        <w:rPr>
          <w:rFonts w:hint="default"/>
        </w:rPr>
      </w:pPr>
      <w:r>
        <w:t>Correlation coefficient between 32 port-precoding matrices and 16 port-precoding matrices with different Ranks (</w:t>
      </w:r>
      <w:r>
        <w:rPr>
          <w:rFonts w:hint="default"/>
        </w:rPr>
        <w:t>8</w:t>
      </w:r>
      <w:r>
        <w:t>×2)</w:t>
      </w:r>
    </w:p>
    <w:p>
      <w:pPr>
        <w:spacing w:before="120" w:after="120"/>
        <w:jc w:val="center"/>
        <w:rPr>
          <w:sz w:val="18"/>
          <w:szCs w:val="16"/>
        </w:rPr>
      </w:pPr>
    </w:p>
    <w:tbl>
      <w:tblPr>
        <w:tblStyle w:val="19"/>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938"/>
        <w:gridCol w:w="493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938" w:type="dxa"/>
            <w:vAlign w:val="center"/>
          </w:tcPr>
          <w:p>
            <w:pPr>
              <w:spacing w:before="120" w:after="120"/>
              <w:jc w:val="center"/>
            </w:pPr>
            <w:r>
              <w:drawing>
                <wp:inline distT="0" distB="0" distL="114300" distR="114300">
                  <wp:extent cx="2881630" cy="2160270"/>
                  <wp:effectExtent l="0" t="0" r="0" b="0"/>
                  <wp:docPr id="37"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46"/>
                          <pic:cNvPicPr>
                            <a:picLocks noChangeAspect="1"/>
                          </pic:cNvPicPr>
                        </pic:nvPicPr>
                        <pic:blipFill>
                          <a:blip r:embed="rId75"/>
                          <a:stretch>
                            <a:fillRect/>
                          </a:stretch>
                        </pic:blipFill>
                        <pic:spPr>
                          <a:xfrm>
                            <a:off x="0" y="0"/>
                            <a:ext cx="2881630" cy="2160270"/>
                          </a:xfrm>
                          <a:prstGeom prst="rect">
                            <a:avLst/>
                          </a:prstGeom>
                          <a:noFill/>
                          <a:ln>
                            <a:noFill/>
                          </a:ln>
                        </pic:spPr>
                      </pic:pic>
                    </a:graphicData>
                  </a:graphic>
                </wp:inline>
              </w:drawing>
            </w:r>
          </w:p>
        </w:tc>
        <w:tc>
          <w:tcPr>
            <w:tcW w:w="4938" w:type="dxa"/>
            <w:vAlign w:val="center"/>
          </w:tcPr>
          <w:p>
            <w:pPr>
              <w:spacing w:before="120" w:after="120"/>
              <w:jc w:val="center"/>
            </w:pPr>
            <w:r>
              <w:drawing>
                <wp:inline distT="0" distB="0" distL="114300" distR="114300">
                  <wp:extent cx="2881630" cy="2160270"/>
                  <wp:effectExtent l="0" t="0" r="0" b="0"/>
                  <wp:docPr id="38"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47"/>
                          <pic:cNvPicPr>
                            <a:picLocks noChangeAspect="1"/>
                          </pic:cNvPicPr>
                        </pic:nvPicPr>
                        <pic:blipFill>
                          <a:blip r:embed="rId76"/>
                          <a:stretch>
                            <a:fillRect/>
                          </a:stretch>
                        </pic:blipFill>
                        <pic:spPr>
                          <a:xfrm>
                            <a:off x="0" y="0"/>
                            <a:ext cx="2881630" cy="2160270"/>
                          </a:xfrm>
                          <a:prstGeom prst="rect">
                            <a:avLst/>
                          </a:prstGeom>
                          <a:noFill/>
                          <a:ln>
                            <a:noFill/>
                          </a:ln>
                        </pic:spPr>
                      </pic:pic>
                    </a:graphicData>
                  </a:graphic>
                </wp:inline>
              </w:drawing>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938" w:type="dxa"/>
            <w:vAlign w:val="center"/>
          </w:tcPr>
          <w:p>
            <w:pPr>
              <w:pStyle w:val="16"/>
              <w:spacing w:before="120" w:after="120"/>
              <w:jc w:val="center"/>
              <w:rPr>
                <w:kern w:val="2"/>
              </w:rPr>
            </w:pPr>
            <w:r>
              <w:rPr>
                <w:rFonts w:hint="eastAsia"/>
                <w:kern w:val="2"/>
                <w:sz w:val="18"/>
                <w:szCs w:val="16"/>
              </w:rPr>
              <w:t>(a) Rank = 1</w:t>
            </w:r>
          </w:p>
        </w:tc>
        <w:tc>
          <w:tcPr>
            <w:tcW w:w="4938" w:type="dxa"/>
            <w:vAlign w:val="center"/>
          </w:tcPr>
          <w:p>
            <w:pPr>
              <w:spacing w:before="120" w:after="120"/>
              <w:jc w:val="center"/>
            </w:pPr>
            <w:r>
              <w:rPr>
                <w:rFonts w:hint="eastAsia"/>
                <w:sz w:val="18"/>
                <w:szCs w:val="16"/>
              </w:rPr>
              <w:t>(b) Rank = 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938" w:type="dxa"/>
            <w:vAlign w:val="center"/>
          </w:tcPr>
          <w:p>
            <w:pPr>
              <w:pStyle w:val="16"/>
              <w:spacing w:before="120" w:after="120"/>
              <w:jc w:val="center"/>
            </w:pPr>
            <w:r>
              <w:drawing>
                <wp:inline distT="0" distB="0" distL="114300" distR="114300">
                  <wp:extent cx="2881630" cy="2160270"/>
                  <wp:effectExtent l="0" t="0" r="0" b="0"/>
                  <wp:docPr id="39"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48"/>
                          <pic:cNvPicPr>
                            <a:picLocks noChangeAspect="1"/>
                          </pic:cNvPicPr>
                        </pic:nvPicPr>
                        <pic:blipFill>
                          <a:blip r:embed="rId77"/>
                          <a:stretch>
                            <a:fillRect/>
                          </a:stretch>
                        </pic:blipFill>
                        <pic:spPr>
                          <a:xfrm>
                            <a:off x="0" y="0"/>
                            <a:ext cx="2881630" cy="2160270"/>
                          </a:xfrm>
                          <a:prstGeom prst="rect">
                            <a:avLst/>
                          </a:prstGeom>
                          <a:noFill/>
                          <a:ln>
                            <a:noFill/>
                          </a:ln>
                        </pic:spPr>
                      </pic:pic>
                    </a:graphicData>
                  </a:graphic>
                </wp:inline>
              </w:drawing>
            </w:r>
          </w:p>
        </w:tc>
        <w:tc>
          <w:tcPr>
            <w:tcW w:w="4938" w:type="dxa"/>
            <w:vAlign w:val="center"/>
          </w:tcPr>
          <w:p>
            <w:pPr>
              <w:spacing w:before="120" w:after="120"/>
              <w:jc w:val="center"/>
            </w:pPr>
            <w:r>
              <w:drawing>
                <wp:inline distT="0" distB="0" distL="114300" distR="114300">
                  <wp:extent cx="2881630" cy="2160270"/>
                  <wp:effectExtent l="0" t="0" r="0" b="0"/>
                  <wp:docPr id="40"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49"/>
                          <pic:cNvPicPr>
                            <a:picLocks noChangeAspect="1"/>
                          </pic:cNvPicPr>
                        </pic:nvPicPr>
                        <pic:blipFill>
                          <a:blip r:embed="rId78"/>
                          <a:stretch>
                            <a:fillRect/>
                          </a:stretch>
                        </pic:blipFill>
                        <pic:spPr>
                          <a:xfrm>
                            <a:off x="0" y="0"/>
                            <a:ext cx="2881630" cy="2160270"/>
                          </a:xfrm>
                          <a:prstGeom prst="rect">
                            <a:avLst/>
                          </a:prstGeom>
                          <a:noFill/>
                          <a:ln>
                            <a:noFill/>
                          </a:ln>
                        </pic:spPr>
                      </pic:pic>
                    </a:graphicData>
                  </a:graphic>
                </wp:inline>
              </w:drawing>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938" w:type="dxa"/>
            <w:vAlign w:val="center"/>
          </w:tcPr>
          <w:p>
            <w:pPr>
              <w:pStyle w:val="16"/>
              <w:spacing w:before="120" w:after="120"/>
              <w:jc w:val="center"/>
            </w:pPr>
            <w:r>
              <w:rPr>
                <w:rFonts w:hint="eastAsia"/>
                <w:kern w:val="2"/>
                <w:sz w:val="18"/>
                <w:szCs w:val="16"/>
              </w:rPr>
              <w:t>(c) Rank = 3</w:t>
            </w:r>
          </w:p>
        </w:tc>
        <w:tc>
          <w:tcPr>
            <w:tcW w:w="4938" w:type="dxa"/>
            <w:vAlign w:val="center"/>
          </w:tcPr>
          <w:p>
            <w:pPr>
              <w:spacing w:before="120" w:after="120"/>
              <w:jc w:val="center"/>
            </w:pPr>
            <w:r>
              <w:rPr>
                <w:rFonts w:hint="eastAsia"/>
                <w:sz w:val="18"/>
                <w:szCs w:val="16"/>
              </w:rPr>
              <w:t>(d) Rank = 4</w:t>
            </w:r>
          </w:p>
        </w:tc>
      </w:tr>
    </w:tbl>
    <w:p>
      <w:pPr>
        <w:pStyle w:val="59"/>
        <w:spacing w:before="120" w:after="120"/>
        <w:rPr>
          <w:rFonts w:hint="default"/>
        </w:rPr>
      </w:pPr>
      <w:r>
        <w:t>Correlation coefficient between 32 port-precoding matrices and 24 port-precoding matrices with different Ranks</w:t>
      </w:r>
      <w:r>
        <w:rPr>
          <w:rFonts w:hint="default"/>
        </w:rPr>
        <w:t xml:space="preserve"> </w:t>
      </w:r>
      <w:r>
        <w:t>(</w:t>
      </w:r>
      <w:r>
        <w:rPr>
          <w:rFonts w:hint="default"/>
        </w:rPr>
        <w:t>8</w:t>
      </w:r>
      <w:r>
        <w:t>×2)</w:t>
      </w:r>
    </w:p>
    <w:tbl>
      <w:tblPr>
        <w:tblStyle w:val="19"/>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938"/>
        <w:gridCol w:w="493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4938" w:type="dxa"/>
            <w:vAlign w:val="center"/>
          </w:tcPr>
          <w:p>
            <w:pPr>
              <w:spacing w:before="120" w:after="120"/>
              <w:jc w:val="center"/>
            </w:pPr>
            <w:r>
              <w:drawing>
                <wp:inline distT="0" distB="0" distL="114300" distR="114300">
                  <wp:extent cx="2882265" cy="2160270"/>
                  <wp:effectExtent l="0" t="0" r="0" b="0"/>
                  <wp:docPr id="41"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49"/>
                          <pic:cNvPicPr>
                            <a:picLocks noChangeAspect="1"/>
                          </pic:cNvPicPr>
                        </pic:nvPicPr>
                        <pic:blipFill>
                          <a:blip r:embed="rId79"/>
                          <a:stretch>
                            <a:fillRect/>
                          </a:stretch>
                        </pic:blipFill>
                        <pic:spPr>
                          <a:xfrm>
                            <a:off x="0" y="0"/>
                            <a:ext cx="2882265" cy="2160270"/>
                          </a:xfrm>
                          <a:prstGeom prst="rect">
                            <a:avLst/>
                          </a:prstGeom>
                          <a:noFill/>
                          <a:ln>
                            <a:noFill/>
                          </a:ln>
                        </pic:spPr>
                      </pic:pic>
                    </a:graphicData>
                  </a:graphic>
                </wp:inline>
              </w:drawing>
            </w:r>
          </w:p>
        </w:tc>
        <w:tc>
          <w:tcPr>
            <w:tcW w:w="4938" w:type="dxa"/>
            <w:vAlign w:val="center"/>
          </w:tcPr>
          <w:p>
            <w:pPr>
              <w:spacing w:before="120" w:after="120"/>
              <w:jc w:val="center"/>
            </w:pPr>
            <w:r>
              <w:drawing>
                <wp:inline distT="0" distB="0" distL="114300" distR="114300">
                  <wp:extent cx="2882265" cy="2160270"/>
                  <wp:effectExtent l="0" t="0" r="0" b="0"/>
                  <wp:docPr id="46"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50"/>
                          <pic:cNvPicPr>
                            <a:picLocks noChangeAspect="1"/>
                          </pic:cNvPicPr>
                        </pic:nvPicPr>
                        <pic:blipFill>
                          <a:blip r:embed="rId80"/>
                          <a:stretch>
                            <a:fillRect/>
                          </a:stretch>
                        </pic:blipFill>
                        <pic:spPr>
                          <a:xfrm>
                            <a:off x="0" y="0"/>
                            <a:ext cx="2882265" cy="2160270"/>
                          </a:xfrm>
                          <a:prstGeom prst="rect">
                            <a:avLst/>
                          </a:prstGeom>
                          <a:noFill/>
                          <a:ln>
                            <a:noFill/>
                          </a:ln>
                        </pic:spPr>
                      </pic:pic>
                    </a:graphicData>
                  </a:graphic>
                </wp:inline>
              </w:drawing>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938" w:type="dxa"/>
            <w:vAlign w:val="center"/>
          </w:tcPr>
          <w:p>
            <w:pPr>
              <w:pStyle w:val="16"/>
              <w:spacing w:before="120" w:after="120"/>
              <w:jc w:val="center"/>
            </w:pPr>
            <w:r>
              <w:rPr>
                <w:rFonts w:hint="eastAsia"/>
                <w:kern w:val="2"/>
                <w:sz w:val="18"/>
                <w:szCs w:val="16"/>
              </w:rPr>
              <w:t>(a) Rank = 1</w:t>
            </w:r>
          </w:p>
        </w:tc>
        <w:tc>
          <w:tcPr>
            <w:tcW w:w="4938" w:type="dxa"/>
            <w:vAlign w:val="center"/>
          </w:tcPr>
          <w:p>
            <w:pPr>
              <w:spacing w:before="120" w:after="120"/>
              <w:jc w:val="center"/>
            </w:pPr>
            <w:r>
              <w:rPr>
                <w:rFonts w:hint="eastAsia"/>
                <w:sz w:val="18"/>
                <w:szCs w:val="16"/>
              </w:rPr>
              <w:t>(b) Rank = 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938" w:type="dxa"/>
            <w:vAlign w:val="center"/>
          </w:tcPr>
          <w:p>
            <w:pPr>
              <w:pStyle w:val="16"/>
              <w:spacing w:before="120" w:after="120"/>
              <w:jc w:val="center"/>
              <w:rPr>
                <w:kern w:val="2"/>
                <w:sz w:val="18"/>
                <w:szCs w:val="16"/>
              </w:rPr>
            </w:pPr>
            <w:r>
              <w:drawing>
                <wp:inline distT="0" distB="0" distL="114300" distR="114300">
                  <wp:extent cx="2882265" cy="2160270"/>
                  <wp:effectExtent l="0" t="0" r="0" b="0"/>
                  <wp:docPr id="47"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51"/>
                          <pic:cNvPicPr>
                            <a:picLocks noChangeAspect="1"/>
                          </pic:cNvPicPr>
                        </pic:nvPicPr>
                        <pic:blipFill>
                          <a:blip r:embed="rId81"/>
                          <a:stretch>
                            <a:fillRect/>
                          </a:stretch>
                        </pic:blipFill>
                        <pic:spPr>
                          <a:xfrm>
                            <a:off x="0" y="0"/>
                            <a:ext cx="2882265" cy="2160270"/>
                          </a:xfrm>
                          <a:prstGeom prst="rect">
                            <a:avLst/>
                          </a:prstGeom>
                          <a:noFill/>
                          <a:ln>
                            <a:noFill/>
                          </a:ln>
                        </pic:spPr>
                      </pic:pic>
                    </a:graphicData>
                  </a:graphic>
                </wp:inline>
              </w:drawing>
            </w:r>
          </w:p>
        </w:tc>
        <w:tc>
          <w:tcPr>
            <w:tcW w:w="4938" w:type="dxa"/>
            <w:vAlign w:val="center"/>
          </w:tcPr>
          <w:p>
            <w:pPr>
              <w:spacing w:before="120" w:after="120"/>
              <w:jc w:val="center"/>
              <w:rPr>
                <w:sz w:val="18"/>
                <w:szCs w:val="16"/>
              </w:rPr>
            </w:pPr>
            <w:r>
              <w:drawing>
                <wp:inline distT="0" distB="0" distL="114300" distR="114300">
                  <wp:extent cx="2882265" cy="2160270"/>
                  <wp:effectExtent l="0" t="0" r="0" b="0"/>
                  <wp:docPr id="48"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52"/>
                          <pic:cNvPicPr>
                            <a:picLocks noChangeAspect="1"/>
                          </pic:cNvPicPr>
                        </pic:nvPicPr>
                        <pic:blipFill>
                          <a:blip r:embed="rId82"/>
                          <a:stretch>
                            <a:fillRect/>
                          </a:stretch>
                        </pic:blipFill>
                        <pic:spPr>
                          <a:xfrm>
                            <a:off x="0" y="0"/>
                            <a:ext cx="2882265" cy="2160270"/>
                          </a:xfrm>
                          <a:prstGeom prst="rect">
                            <a:avLst/>
                          </a:prstGeom>
                          <a:noFill/>
                          <a:ln>
                            <a:noFill/>
                          </a:ln>
                        </pic:spPr>
                      </pic:pic>
                    </a:graphicData>
                  </a:graphic>
                </wp:inline>
              </w:drawing>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938" w:type="dxa"/>
            <w:vAlign w:val="center"/>
          </w:tcPr>
          <w:p>
            <w:pPr>
              <w:pStyle w:val="16"/>
              <w:spacing w:before="120" w:after="120"/>
              <w:jc w:val="center"/>
              <w:rPr>
                <w:kern w:val="2"/>
              </w:rPr>
            </w:pPr>
            <w:r>
              <w:rPr>
                <w:rFonts w:hint="eastAsia"/>
                <w:kern w:val="2"/>
                <w:sz w:val="18"/>
                <w:szCs w:val="16"/>
              </w:rPr>
              <w:t>(c) Rank = 3</w:t>
            </w:r>
          </w:p>
        </w:tc>
        <w:tc>
          <w:tcPr>
            <w:tcW w:w="4938" w:type="dxa"/>
            <w:vAlign w:val="center"/>
          </w:tcPr>
          <w:p>
            <w:pPr>
              <w:spacing w:before="120" w:after="120"/>
              <w:jc w:val="center"/>
            </w:pPr>
            <w:r>
              <w:rPr>
                <w:rFonts w:hint="eastAsia"/>
                <w:sz w:val="18"/>
                <w:szCs w:val="16"/>
              </w:rPr>
              <w:t>(d) Rank = 4</w:t>
            </w:r>
          </w:p>
        </w:tc>
      </w:tr>
    </w:tbl>
    <w:p>
      <w:pPr>
        <w:pStyle w:val="59"/>
        <w:spacing w:before="120" w:after="120"/>
        <w:rPr>
          <w:rFonts w:hint="default"/>
          <w:sz w:val="18"/>
        </w:rPr>
      </w:pPr>
      <w:r>
        <w:rPr>
          <w:sz w:val="18"/>
        </w:rPr>
        <w:t>Correlation coefficient between 32 port-precoding matrices and 16 port-precoding matrices with different Ranks</w:t>
      </w:r>
      <w:r>
        <w:rPr>
          <w:rFonts w:hint="default"/>
          <w:sz w:val="18"/>
        </w:rPr>
        <w:t xml:space="preserve"> </w:t>
      </w:r>
      <w:r>
        <w:t>(4×4)</w:t>
      </w:r>
    </w:p>
    <w:p>
      <w:pPr>
        <w:spacing w:before="120" w:after="120"/>
        <w:rPr>
          <w:bCs/>
        </w:rPr>
      </w:pPr>
      <w:r>
        <w:rPr>
          <w:rFonts w:hint="eastAsia"/>
        </w:rPr>
        <w:t>According to the simulation results</w:t>
      </w:r>
      <w:r>
        <w:t xml:space="preserve"> </w:t>
      </w:r>
      <w:r>
        <w:rPr>
          <w:rFonts w:hint="eastAsia"/>
          <w:szCs w:val="21"/>
        </w:rPr>
        <w:t>in</w:t>
      </w:r>
      <w:r>
        <w:rPr>
          <w:szCs w:val="21"/>
        </w:rPr>
        <w:t xml:space="preserve"> </w:t>
      </w:r>
      <w:r>
        <w:rPr>
          <w:rFonts w:hint="eastAsia"/>
          <w:szCs w:val="21"/>
        </w:rPr>
        <w:t>Fi</w:t>
      </w:r>
      <w:r>
        <w:rPr>
          <w:szCs w:val="21"/>
        </w:rPr>
        <w:t>gure</w:t>
      </w:r>
      <w:r>
        <w:rPr>
          <w:rFonts w:hint="eastAsia"/>
          <w:szCs w:val="21"/>
        </w:rPr>
        <w:t xml:space="preserve"> 8</w:t>
      </w:r>
      <w:r>
        <w:rPr>
          <w:szCs w:val="21"/>
        </w:rPr>
        <w:t xml:space="preserve"> </w:t>
      </w:r>
      <w:r>
        <w:rPr>
          <w:rFonts w:hint="eastAsia"/>
          <w:szCs w:val="21"/>
        </w:rPr>
        <w:t xml:space="preserve">, Figure 9, </w:t>
      </w:r>
      <w:r>
        <w:rPr>
          <w:szCs w:val="21"/>
        </w:rPr>
        <w:t xml:space="preserve">and Figure </w:t>
      </w:r>
      <w:r>
        <w:rPr>
          <w:rFonts w:hint="eastAsia"/>
          <w:szCs w:val="21"/>
        </w:rPr>
        <w:t>10</w:t>
      </w:r>
      <w:r>
        <w:rPr>
          <w:rFonts w:hint="eastAsia"/>
        </w:rPr>
        <w:t xml:space="preserve">, </w:t>
      </w:r>
      <w:r>
        <w:t xml:space="preserve">it can be seen </w:t>
      </w:r>
      <w:r>
        <w:rPr>
          <w:rFonts w:hint="eastAsia"/>
        </w:rPr>
        <w:t>for precoding matrices w</w:t>
      </w:r>
      <w:r>
        <w:rPr>
          <w:rFonts w:hint="eastAsia"/>
          <w:szCs w:val="21"/>
        </w:rPr>
        <w:t xml:space="preserve">ith 32 </w:t>
      </w:r>
      <w:r>
        <w:rPr>
          <w:szCs w:val="21"/>
        </w:rPr>
        <w:t xml:space="preserve">ports </w:t>
      </w:r>
      <w:r>
        <w:rPr>
          <w:rFonts w:hint="eastAsia"/>
        </w:rPr>
        <w:t>(</w:t>
      </w:r>
      <w:r>
        <w:rPr>
          <w:rFonts w:hint="eastAsia"/>
          <w:position w:val="-6"/>
        </w:rPr>
        <w:object>
          <v:shape id="_x0000_i1060" o:spt="75" type="#_x0000_t75" style="height:12pt;width:21pt;" o:ole="t" filled="f" o:preferrelative="t" stroked="f" coordsize="21600,21600">
            <v:path/>
            <v:fill on="f" focussize="0,0"/>
            <v:stroke on="f" joinstyle="miter"/>
            <v:imagedata r:id="rId84" o:title=""/>
            <o:lock v:ext="edit" aspectratio="t"/>
            <w10:wrap type="none"/>
            <w10:anchorlock/>
          </v:shape>
          <o:OLEObject Type="Embed" ProgID="Equation.3" ShapeID="_x0000_i1060" DrawAspect="Content" ObjectID="_1468075760" r:id="rId83">
            <o:LockedField>false</o:LockedField>
          </o:OLEObject>
        </w:object>
      </w:r>
      <w:r>
        <w:rPr>
          <w:rFonts w:hint="eastAsia"/>
        </w:rPr>
        <w:t xml:space="preserve">) </w:t>
      </w:r>
      <w:r>
        <w:rPr>
          <w:szCs w:val="21"/>
        </w:rPr>
        <w:t>and</w:t>
      </w:r>
      <w:r>
        <w:rPr>
          <w:rFonts w:hint="eastAsia"/>
          <w:szCs w:val="21"/>
        </w:rPr>
        <w:t xml:space="preserve"> 16 por</w:t>
      </w:r>
      <w:r>
        <w:rPr>
          <w:rFonts w:hint="eastAsia"/>
        </w:rPr>
        <w:t>ts, the pro</w:t>
      </w:r>
      <w:r>
        <w:rPr>
          <w:bCs/>
        </w:rPr>
        <w:t>bability of the correlation coefficient that is greater than 0.6 is about 90%</w:t>
      </w:r>
      <w:r>
        <w:rPr>
          <w:rFonts w:hint="eastAsia"/>
          <w:bCs/>
        </w:rPr>
        <w:t xml:space="preserve"> for any rank of 1,2,3,4</w:t>
      </w:r>
      <w:r>
        <w:rPr>
          <w:bCs/>
        </w:rPr>
        <w:t>.</w:t>
      </w:r>
      <w:r>
        <w:rPr>
          <w:rFonts w:hint="eastAsia"/>
          <w:bCs/>
        </w:rPr>
        <w:t xml:space="preserve"> For </w:t>
      </w:r>
      <w:r>
        <w:rPr>
          <w:rFonts w:hint="eastAsia"/>
        </w:rPr>
        <w:t>precoding matrices wit</w:t>
      </w:r>
      <w:r>
        <w:rPr>
          <w:bCs/>
        </w:rPr>
        <w:t>h 32 ports</w:t>
      </w:r>
      <w:r>
        <w:rPr>
          <w:rFonts w:hint="eastAsia"/>
          <w:bCs/>
        </w:rPr>
        <w:t xml:space="preserve"> </w:t>
      </w:r>
      <w:r>
        <w:rPr>
          <w:rFonts w:hint="eastAsia"/>
        </w:rPr>
        <w:t>(</w:t>
      </w:r>
      <w:r>
        <w:rPr>
          <w:rFonts w:hint="eastAsia"/>
          <w:position w:val="-4"/>
        </w:rPr>
        <w:object>
          <v:shape id="_x0000_i1061" o:spt="75" type="#_x0000_t75" style="height:11pt;width:22.5pt;" o:ole="t" filled="f" o:preferrelative="t" stroked="f" coordsize="21600,21600">
            <v:path/>
            <v:fill on="f" focussize="0,0"/>
            <v:stroke on="f" joinstyle="miter"/>
            <v:imagedata r:id="rId86" o:title=""/>
            <o:lock v:ext="edit" aspectratio="t"/>
            <w10:wrap type="none"/>
            <w10:anchorlock/>
          </v:shape>
          <o:OLEObject Type="Embed" ProgID="Equation.3" ShapeID="_x0000_i1061" DrawAspect="Content" ObjectID="_1468075761" r:id="rId85">
            <o:LockedField>false</o:LockedField>
          </o:OLEObject>
        </w:object>
      </w:r>
      <w:r>
        <w:rPr>
          <w:rFonts w:hint="eastAsia"/>
        </w:rPr>
        <w:t>)</w:t>
      </w:r>
      <w:r>
        <w:rPr>
          <w:bCs/>
        </w:rPr>
        <w:t xml:space="preserve"> and </w:t>
      </w:r>
      <w:r>
        <w:rPr>
          <w:rFonts w:hint="eastAsia"/>
          <w:bCs/>
        </w:rPr>
        <w:t>16 ports</w:t>
      </w:r>
      <w:r>
        <w:rPr>
          <w:rFonts w:hint="eastAsia"/>
        </w:rPr>
        <w:t>, the pro</w:t>
      </w:r>
      <w:r>
        <w:rPr>
          <w:bCs/>
        </w:rPr>
        <w:t>bability of the correlation coefficient that is greater than 0.6 is about 90%</w:t>
      </w:r>
      <w:r>
        <w:rPr>
          <w:rFonts w:hint="eastAsia"/>
          <w:bCs/>
        </w:rPr>
        <w:t xml:space="preserve"> for any rank of 1,3,4, and </w:t>
      </w:r>
      <w:r>
        <w:rPr>
          <w:rFonts w:hint="eastAsia"/>
        </w:rPr>
        <w:t>the pro</w:t>
      </w:r>
      <w:r>
        <w:rPr>
          <w:bCs/>
        </w:rPr>
        <w:t xml:space="preserve">bability of the correlation coefficient that is greater than 0.6 is about </w:t>
      </w:r>
      <w:r>
        <w:rPr>
          <w:rFonts w:hint="eastAsia"/>
          <w:bCs/>
        </w:rPr>
        <w:t>8</w:t>
      </w:r>
      <w:r>
        <w:rPr>
          <w:bCs/>
        </w:rPr>
        <w:t>0%</w:t>
      </w:r>
      <w:r>
        <w:rPr>
          <w:rFonts w:hint="eastAsia"/>
          <w:bCs/>
        </w:rPr>
        <w:t xml:space="preserve"> for rank of 2</w:t>
      </w:r>
      <w:r>
        <w:rPr>
          <w:bCs/>
        </w:rPr>
        <w:t>.</w:t>
      </w:r>
      <w:r>
        <w:rPr>
          <w:rFonts w:hint="eastAsia"/>
        </w:rPr>
        <w:t xml:space="preserve"> </w:t>
      </w:r>
      <w:r>
        <w:rPr>
          <w:rFonts w:hint="eastAsia"/>
          <w:bCs/>
        </w:rPr>
        <w:t xml:space="preserve">For </w:t>
      </w:r>
      <w:r>
        <w:rPr>
          <w:rFonts w:hint="eastAsia"/>
        </w:rPr>
        <w:t>precoding matrices wit</w:t>
      </w:r>
      <w:r>
        <w:rPr>
          <w:bCs/>
        </w:rPr>
        <w:t xml:space="preserve">h 32 ports </w:t>
      </w:r>
      <w:r>
        <w:rPr>
          <w:rFonts w:hint="eastAsia"/>
          <w:bCs/>
        </w:rPr>
        <w:t>(</w:t>
      </w:r>
      <w:r>
        <w:rPr>
          <w:rFonts w:hint="eastAsia"/>
          <w:position w:val="-6"/>
        </w:rPr>
        <w:object>
          <v:shape id="_x0000_i1062" o:spt="75" type="#_x0000_t75" style="height:12pt;width:21pt;" o:ole="t" filled="f" o:preferrelative="t" stroked="f" coordsize="21600,21600">
            <v:path/>
            <v:fill on="f" focussize="0,0"/>
            <v:stroke on="f" joinstyle="miter"/>
            <v:imagedata r:id="rId84" o:title=""/>
            <o:lock v:ext="edit" aspectratio="t"/>
            <w10:wrap type="none"/>
            <w10:anchorlock/>
          </v:shape>
          <o:OLEObject Type="Embed" ProgID="Equation.3" ShapeID="_x0000_i1062" DrawAspect="Content" ObjectID="_1468075762" r:id="rId87">
            <o:LockedField>false</o:LockedField>
          </o:OLEObject>
        </w:object>
      </w:r>
      <w:r>
        <w:rPr>
          <w:rFonts w:hint="eastAsia"/>
          <w:bCs/>
        </w:rPr>
        <w:t>)</w:t>
      </w:r>
      <w:r>
        <w:rPr>
          <w:bCs/>
        </w:rPr>
        <w:t xml:space="preserve"> and 24</w:t>
      </w:r>
      <w:r>
        <w:rPr>
          <w:rFonts w:hint="eastAsia"/>
        </w:rPr>
        <w:t xml:space="preserve"> port</w:t>
      </w:r>
      <w:r>
        <w:t>s</w:t>
      </w:r>
      <w:r>
        <w:rPr>
          <w:rFonts w:hint="eastAsia"/>
        </w:rPr>
        <w:t xml:space="preserve">, </w:t>
      </w:r>
      <w:r>
        <w:rPr>
          <w:bCs/>
        </w:rPr>
        <w:t xml:space="preserve">the probability of the correlation coefficient that is greater than 0.6 is about </w:t>
      </w:r>
      <w:r>
        <w:rPr>
          <w:rFonts w:hint="eastAsia"/>
          <w:bCs/>
        </w:rPr>
        <w:t>8</w:t>
      </w:r>
      <w:r>
        <w:rPr>
          <w:bCs/>
        </w:rPr>
        <w:t>0%</w:t>
      </w:r>
      <w:r>
        <w:rPr>
          <w:rFonts w:hint="eastAsia"/>
          <w:bCs/>
        </w:rPr>
        <w:t xml:space="preserve"> for </w:t>
      </w:r>
      <w:r>
        <w:rPr>
          <w:bCs/>
        </w:rPr>
        <w:t xml:space="preserve">the </w:t>
      </w:r>
      <w:r>
        <w:rPr>
          <w:rFonts w:hint="eastAsia"/>
          <w:bCs/>
        </w:rPr>
        <w:t xml:space="preserve">rank of 1 or 2, </w:t>
      </w:r>
      <w:r>
        <w:rPr>
          <w:bCs/>
        </w:rPr>
        <w:t xml:space="preserve">the probability of the correlation coefficient that is greater than 0.6 is about </w:t>
      </w:r>
      <w:r>
        <w:rPr>
          <w:rFonts w:hint="eastAsia"/>
          <w:bCs/>
        </w:rPr>
        <w:t>7</w:t>
      </w:r>
      <w:r>
        <w:rPr>
          <w:bCs/>
        </w:rPr>
        <w:t>0%</w:t>
      </w:r>
      <w:r>
        <w:rPr>
          <w:rFonts w:hint="eastAsia"/>
          <w:bCs/>
        </w:rPr>
        <w:t xml:space="preserve"> for </w:t>
      </w:r>
      <w:r>
        <w:rPr>
          <w:bCs/>
        </w:rPr>
        <w:t xml:space="preserve">the </w:t>
      </w:r>
      <w:r>
        <w:rPr>
          <w:rFonts w:hint="eastAsia"/>
          <w:bCs/>
        </w:rPr>
        <w:t>rank of 3 or 4</w:t>
      </w:r>
      <w:r>
        <w:rPr>
          <w:bCs/>
        </w:rPr>
        <w:t>.</w:t>
      </w:r>
      <w:r>
        <w:rPr>
          <w:rFonts w:hint="eastAsia"/>
          <w:bCs/>
        </w:rPr>
        <w:t xml:space="preserve"> The correlation between </w:t>
      </w:r>
      <w:r>
        <w:rPr>
          <w:bCs/>
        </w:rPr>
        <w:t>these</w:t>
      </w:r>
      <w:r>
        <w:rPr>
          <w:rFonts w:hint="eastAsia"/>
        </w:rPr>
        <w:t xml:space="preserve"> precoding matrices </w:t>
      </w:r>
      <w:r>
        <w:rPr>
          <w:rFonts w:hint="eastAsia"/>
          <w:bCs/>
        </w:rPr>
        <w:t>is high.</w:t>
      </w:r>
    </w:p>
    <w:p>
      <w:pPr>
        <w:pStyle w:val="30"/>
        <w:spacing w:before="120" w:after="120"/>
        <w:rPr>
          <w:lang w:val="en-US" w:eastAsia="zh-CN"/>
        </w:rPr>
      </w:pPr>
      <w:bookmarkStart w:id="54" w:name="_Toc8632"/>
      <w:bookmarkStart w:id="55" w:name="_Toc8196"/>
      <w:bookmarkStart w:id="56" w:name="_Toc21160"/>
      <w:r>
        <w:rPr>
          <w:rFonts w:hint="eastAsia"/>
          <w:lang w:val="en-US" w:eastAsia="zh-CN"/>
        </w:rPr>
        <w:t xml:space="preserve">The correlation between </w:t>
      </w:r>
      <w:r>
        <w:rPr>
          <w:lang w:val="en-US" w:eastAsia="zh-CN"/>
        </w:rPr>
        <w:t>the</w:t>
      </w:r>
      <w:r>
        <w:rPr>
          <w:rFonts w:hint="eastAsia"/>
          <w:lang w:val="en-US" w:eastAsia="zh-CN"/>
        </w:rPr>
        <w:t xml:space="preserve"> precoding matrices </w:t>
      </w:r>
      <w:r>
        <w:rPr>
          <w:lang w:val="en-US" w:eastAsia="zh-CN"/>
        </w:rPr>
        <w:t>of different CSI-RS port numbers</w:t>
      </w:r>
      <w:r>
        <w:rPr>
          <w:rFonts w:hint="eastAsia"/>
          <w:lang w:val="en-US" w:eastAsia="zh-CN"/>
        </w:rPr>
        <w:t xml:space="preserve"> is high.</w:t>
      </w:r>
      <w:bookmarkEnd w:id="54"/>
      <w:bookmarkEnd w:id="55"/>
      <w:bookmarkEnd w:id="56"/>
      <w:r>
        <w:rPr>
          <w:rFonts w:hint="eastAsia"/>
          <w:lang w:val="en-US" w:eastAsia="zh-CN"/>
        </w:rPr>
        <w:t xml:space="preserve"> </w:t>
      </w:r>
    </w:p>
    <w:p>
      <w:pPr>
        <w:spacing w:before="120" w:after="120"/>
        <w:jc w:val="center"/>
      </w:pPr>
    </w:p>
    <w:p>
      <w:pPr>
        <w:pStyle w:val="5"/>
        <w:numPr>
          <w:ilvl w:val="3"/>
          <w:numId w:val="1"/>
        </w:numPr>
        <w:spacing w:after="120"/>
        <w:ind w:left="0" w:right="210"/>
      </w:pPr>
      <w:r>
        <w:rPr>
          <w:rFonts w:hint="eastAsia"/>
        </w:rPr>
        <w:t xml:space="preserve">System performance using the correlation between the two precoding matrices </w:t>
      </w:r>
    </w:p>
    <w:p>
      <w:pPr>
        <w:spacing w:before="120" w:after="120"/>
      </w:pPr>
      <w:r>
        <w:rPr>
          <w:rFonts w:hint="eastAsia"/>
        </w:rPr>
        <w:t>Since</w:t>
      </w:r>
      <w:r>
        <w:t xml:space="preserve"> the </w:t>
      </w:r>
      <w:r>
        <w:rPr>
          <w:rFonts w:hint="eastAsia"/>
        </w:rPr>
        <w:t xml:space="preserve">precoding matrices </w:t>
      </w:r>
      <w:r>
        <w:t xml:space="preserve">of different CSI-RS port numbers </w:t>
      </w:r>
      <w:r>
        <w:rPr>
          <w:rFonts w:hint="eastAsia"/>
        </w:rPr>
        <w:t>are</w:t>
      </w:r>
      <w:r>
        <w:t xml:space="preserve"> highly correlated</w:t>
      </w:r>
      <w:r>
        <w:rPr>
          <w:rFonts w:hint="eastAsia"/>
        </w:rPr>
        <w:t>, the signaling overhead of PMI can be saved by</w:t>
      </w:r>
      <w:r>
        <w:t xml:space="preserve"> using one</w:t>
      </w:r>
      <w:r>
        <w:rPr>
          <w:rFonts w:hint="eastAsia"/>
        </w:rPr>
        <w:t xml:space="preserve"> common</w:t>
      </w:r>
      <w:r>
        <w:t xml:space="preserve"> PMI, i.e.,</w:t>
      </w:r>
      <w:r>
        <w:rPr>
          <w:rFonts w:hint="eastAsia"/>
        </w:rPr>
        <w:t xml:space="preserve"> not transmit</w:t>
      </w:r>
      <w:r>
        <w:t>ting</w:t>
      </w:r>
      <w:r>
        <w:rPr>
          <w:rFonts w:hint="eastAsia"/>
        </w:rPr>
        <w:t xml:space="preserve"> the PMI with smaller number of ports. T</w:t>
      </w:r>
      <w:r>
        <w:t>he throughput performance of exploiting this correlation are evaluation for both fixed rank and flexible rank.</w:t>
      </w:r>
    </w:p>
    <w:p>
      <w:pPr>
        <w:numPr>
          <w:ilvl w:val="0"/>
          <w:numId w:val="21"/>
        </w:numPr>
        <w:spacing w:before="120" w:after="120"/>
        <w:rPr>
          <w:b/>
          <w:bCs/>
        </w:rPr>
      </w:pPr>
      <w:r>
        <w:rPr>
          <w:rFonts w:hint="eastAsia"/>
          <w:b/>
          <w:bCs/>
        </w:rPr>
        <w:t>Fixed rank</w:t>
      </w:r>
    </w:p>
    <w:p>
      <w:pPr>
        <w:spacing w:before="120" w:after="120"/>
        <w:rPr>
          <w:b/>
        </w:rPr>
      </w:pPr>
      <w:r>
        <w:t>For</w:t>
      </w:r>
      <w:r>
        <w:rPr>
          <w:rFonts w:hint="eastAsia"/>
        </w:rPr>
        <w:t xml:space="preserve"> evaluation</w:t>
      </w:r>
      <w:r>
        <w:t xml:space="preserve"> results in Table 2</w:t>
      </w:r>
      <w:r>
        <w:rPr>
          <w:rFonts w:hint="eastAsia"/>
        </w:rPr>
        <w:t xml:space="preserve">, </w:t>
      </w:r>
      <m:oMath>
        <m:sSubSup>
          <m:sSubSupPr>
            <m:ctrlPr>
              <w:rPr>
                <w:rFonts w:ascii="Cambria Math" w:hAnsi="Cambria Math"/>
              </w:rPr>
            </m:ctrlPr>
          </m:sSubSupPr>
          <m:e>
            <m:r>
              <m:rPr>
                <m:sty m:val="p"/>
              </m:rPr>
              <w:rPr>
                <w:rFonts w:hint="eastAsia" w:ascii="Cambria Math" w:hAnsi="Cambria Math"/>
              </w:rPr>
              <m:t>M</m:t>
            </m:r>
            <m:ctrlPr>
              <w:rPr>
                <w:rFonts w:ascii="Cambria Math" w:hAnsi="Cambria Math"/>
              </w:rPr>
            </m:ctrlPr>
          </m:e>
          <m:sub>
            <m:r>
              <w:rPr>
                <w:rFonts w:ascii="Cambria Math" w:hAnsi="Cambria Math"/>
              </w:rPr>
              <m:t>16</m:t>
            </m:r>
            <m:ctrlPr>
              <w:rPr>
                <w:rFonts w:ascii="Cambria Math" w:hAnsi="Cambria Math"/>
              </w:rPr>
            </m:ctrlPr>
          </m:sub>
          <m:sup>
            <m:r>
              <w:rPr>
                <w:rFonts w:ascii="Cambria Math" w:hAnsi="Cambria Math"/>
              </w:rPr>
              <m:t>32</m:t>
            </m:r>
            <m:ctrlPr>
              <w:rPr>
                <w:rFonts w:ascii="Cambria Math" w:hAnsi="Cambria Math"/>
              </w:rPr>
            </m:ctrlPr>
          </m:sup>
        </m:sSubSup>
      </m:oMath>
      <w:r>
        <w:rPr>
          <w:rFonts w:hint="eastAsia"/>
        </w:rPr>
        <w:t xml:space="preserve"> is a precoding matrix </w:t>
      </w:r>
      <w:r>
        <w:t>of 16 ports</w:t>
      </w:r>
      <w:r>
        <w:rPr>
          <w:rFonts w:hint="eastAsia"/>
        </w:rPr>
        <w:t xml:space="preserve"> which is </w:t>
      </w:r>
      <w:r>
        <w:t xml:space="preserve">derived </w:t>
      </w:r>
      <w:r>
        <w:rPr>
          <w:rFonts w:hint="eastAsia"/>
        </w:rPr>
        <w:t>f</w:t>
      </w:r>
      <w:r>
        <w:t xml:space="preserve">rom </w:t>
      </w:r>
      <w:r>
        <w:rPr>
          <w:rFonts w:hint="eastAsia"/>
        </w:rPr>
        <w:t>a</w:t>
      </w:r>
      <w:r>
        <w:t xml:space="preserve"> sub-matrix of the </w:t>
      </w:r>
      <w:r>
        <w:rPr>
          <w:rFonts w:hint="eastAsia"/>
        </w:rPr>
        <w:t xml:space="preserve">precoding matrix </w:t>
      </w:r>
      <w:r>
        <w:t xml:space="preserve">of </w:t>
      </w:r>
      <w:r>
        <w:rPr>
          <w:rFonts w:hint="eastAsia"/>
        </w:rPr>
        <w:t>32</w:t>
      </w:r>
      <w:r>
        <w:t xml:space="preserve"> ports,</w:t>
      </w:r>
      <w:r>
        <w:rPr>
          <w:rFonts w:hint="eastAsia"/>
        </w:rPr>
        <w:t xml:space="preserve"> </w:t>
      </w:r>
      <m:oMath>
        <m:sSubSup>
          <m:sSubSupPr>
            <m:ctrlPr>
              <w:rPr>
                <w:rFonts w:ascii="Cambria Math" w:hAnsi="Cambria Math"/>
              </w:rPr>
            </m:ctrlPr>
          </m:sSubSupPr>
          <m:e>
            <m:r>
              <m:rPr>
                <m:sty m:val="p"/>
              </m:rPr>
              <w:rPr>
                <w:rFonts w:hint="eastAsia" w:ascii="Cambria Math" w:hAnsi="Cambria Math"/>
              </w:rPr>
              <m:t>M</m:t>
            </m:r>
            <m:ctrlPr>
              <w:rPr>
                <w:rFonts w:ascii="Cambria Math" w:hAnsi="Cambria Math"/>
              </w:rPr>
            </m:ctrlPr>
          </m:e>
          <m:sub>
            <m:r>
              <w:rPr>
                <w:rFonts w:ascii="Cambria Math" w:hAnsi="Cambria Math"/>
              </w:rPr>
              <m:t>16</m:t>
            </m:r>
            <m:ctrlPr>
              <w:rPr>
                <w:rFonts w:ascii="Cambria Math" w:hAnsi="Cambria Math"/>
              </w:rPr>
            </m:ctrlPr>
          </m:sub>
          <m:sup>
            <m:ctrlPr>
              <w:rPr>
                <w:rFonts w:ascii="Cambria Math" w:hAnsi="Cambria Math"/>
              </w:rPr>
            </m:ctrlPr>
          </m:sup>
        </m:sSubSup>
      </m:oMath>
      <w:r>
        <w:rPr>
          <w:rFonts w:hint="eastAsia"/>
        </w:rPr>
        <w:t xml:space="preserve"> is </w:t>
      </w:r>
      <w:r>
        <w:t xml:space="preserve">the </w:t>
      </w:r>
      <w:r>
        <w:rPr>
          <w:rFonts w:hint="eastAsia"/>
        </w:rPr>
        <w:t>real precoding matrix reported by PMI of 16 ports CSI-RS.</w:t>
      </w:r>
      <w:r>
        <w:t xml:space="preserve"> For</w:t>
      </w:r>
      <w:r>
        <w:rPr>
          <w:rFonts w:hint="eastAsia"/>
        </w:rPr>
        <w:t xml:space="preserve"> evaluation</w:t>
      </w:r>
      <w:r>
        <w:t xml:space="preserve"> results in Table 3</w:t>
      </w:r>
      <w:r>
        <w:rPr>
          <w:rFonts w:hint="eastAsia"/>
        </w:rPr>
        <w:t xml:space="preserve">, </w:t>
      </w:r>
      <m:oMath>
        <m:sSubSup>
          <m:sSubSupPr>
            <m:ctrlPr>
              <w:rPr>
                <w:rFonts w:ascii="Cambria Math" w:hAnsi="Cambria Math"/>
              </w:rPr>
            </m:ctrlPr>
          </m:sSubSupPr>
          <m:e>
            <m:r>
              <m:rPr>
                <m:sty m:val="p"/>
              </m:rPr>
              <w:rPr>
                <w:rFonts w:hint="eastAsia" w:ascii="Cambria Math" w:hAnsi="Cambria Math"/>
              </w:rPr>
              <m:t>M</m:t>
            </m:r>
            <m:ctrlPr>
              <w:rPr>
                <w:rFonts w:ascii="Cambria Math" w:hAnsi="Cambria Math"/>
              </w:rPr>
            </m:ctrlPr>
          </m:e>
          <m:sub>
            <m:r>
              <w:rPr>
                <w:rFonts w:ascii="Cambria Math" w:hAnsi="Cambria Math"/>
              </w:rPr>
              <m:t>24</m:t>
            </m:r>
            <m:ctrlPr>
              <w:rPr>
                <w:rFonts w:ascii="Cambria Math" w:hAnsi="Cambria Math"/>
              </w:rPr>
            </m:ctrlPr>
          </m:sub>
          <m:sup>
            <m:r>
              <w:rPr>
                <w:rFonts w:ascii="Cambria Math" w:hAnsi="Cambria Math"/>
              </w:rPr>
              <m:t>32</m:t>
            </m:r>
            <m:ctrlPr>
              <w:rPr>
                <w:rFonts w:ascii="Cambria Math" w:hAnsi="Cambria Math"/>
              </w:rPr>
            </m:ctrlPr>
          </m:sup>
        </m:sSubSup>
      </m:oMath>
      <w:r>
        <w:rPr>
          <w:rFonts w:hint="eastAsia"/>
        </w:rPr>
        <w:t xml:space="preserve"> is a precoding matrix</w:t>
      </w:r>
      <w:r>
        <w:t xml:space="preserve"> of 24 ports</w:t>
      </w:r>
      <w:r>
        <w:rPr>
          <w:rFonts w:hint="eastAsia"/>
        </w:rPr>
        <w:t xml:space="preserve"> which is </w:t>
      </w:r>
      <w:r>
        <w:t xml:space="preserve">derived </w:t>
      </w:r>
      <w:r>
        <w:rPr>
          <w:rFonts w:hint="eastAsia"/>
        </w:rPr>
        <w:t>f</w:t>
      </w:r>
      <w:r>
        <w:t xml:space="preserve">rom </w:t>
      </w:r>
      <w:r>
        <w:rPr>
          <w:rFonts w:hint="eastAsia"/>
        </w:rPr>
        <w:t>a</w:t>
      </w:r>
      <w:r>
        <w:t xml:space="preserve"> sub-matrix of the </w:t>
      </w:r>
      <w:r>
        <w:rPr>
          <w:rFonts w:hint="eastAsia"/>
        </w:rPr>
        <w:t xml:space="preserve">precoding matrix </w:t>
      </w:r>
      <w:r>
        <w:t xml:space="preserve">of </w:t>
      </w:r>
      <w:r>
        <w:rPr>
          <w:rFonts w:hint="eastAsia"/>
        </w:rPr>
        <w:t>32</w:t>
      </w:r>
      <w:r>
        <w:t xml:space="preserve"> ports,</w:t>
      </w:r>
      <w:r>
        <w:rPr>
          <w:rFonts w:hint="eastAsia"/>
        </w:rPr>
        <w:t xml:space="preserve"> </w:t>
      </w:r>
      <m:oMath>
        <m:sSubSup>
          <m:sSubSupPr>
            <m:ctrlPr>
              <w:rPr>
                <w:rFonts w:ascii="Cambria Math" w:hAnsi="Cambria Math"/>
              </w:rPr>
            </m:ctrlPr>
          </m:sSubSupPr>
          <m:e>
            <m:r>
              <m:rPr>
                <m:sty m:val="p"/>
              </m:rPr>
              <w:rPr>
                <w:rFonts w:hint="eastAsia" w:ascii="Cambria Math" w:hAnsi="Cambria Math"/>
              </w:rPr>
              <m:t>M</m:t>
            </m:r>
            <m:ctrlPr>
              <w:rPr>
                <w:rFonts w:ascii="Cambria Math" w:hAnsi="Cambria Math"/>
              </w:rPr>
            </m:ctrlPr>
          </m:e>
          <m:sub>
            <m:r>
              <w:rPr>
                <w:rFonts w:ascii="Cambria Math" w:hAnsi="Cambria Math"/>
              </w:rPr>
              <m:t>24</m:t>
            </m:r>
            <m:ctrlPr>
              <w:rPr>
                <w:rFonts w:ascii="Cambria Math" w:hAnsi="Cambria Math"/>
              </w:rPr>
            </m:ctrlPr>
          </m:sub>
          <m:sup>
            <m:ctrlPr>
              <w:rPr>
                <w:rFonts w:ascii="Cambria Math" w:hAnsi="Cambria Math"/>
              </w:rPr>
            </m:ctrlPr>
          </m:sup>
        </m:sSubSup>
      </m:oMath>
      <w:r>
        <w:rPr>
          <w:rFonts w:hint="eastAsia"/>
        </w:rPr>
        <w:t xml:space="preserve"> is </w:t>
      </w:r>
      <w:r>
        <w:t xml:space="preserve">the </w:t>
      </w:r>
      <w:r>
        <w:rPr>
          <w:rFonts w:hint="eastAsia"/>
        </w:rPr>
        <w:t xml:space="preserve">real precoding matrix reported by PMI of </w:t>
      </w:r>
      <w:r>
        <w:t>24</w:t>
      </w:r>
      <w:r>
        <w:rPr>
          <w:rFonts w:hint="eastAsia"/>
        </w:rPr>
        <w:t xml:space="preserve"> ports CSI-RS.</w:t>
      </w:r>
    </w:p>
    <w:p>
      <w:pPr>
        <w:spacing w:before="120" w:after="120"/>
        <w:jc w:val="center"/>
        <w:rPr>
          <w:b/>
        </w:rPr>
      </w:pPr>
      <w:r>
        <w:rPr>
          <w:b/>
        </w:rPr>
        <w:t xml:space="preserve">Table </w:t>
      </w:r>
      <w:r>
        <w:rPr>
          <w:rFonts w:hint="eastAsia"/>
          <w:b/>
        </w:rPr>
        <w:t>2</w:t>
      </w:r>
      <w:r>
        <w:rPr>
          <w:b/>
        </w:rPr>
        <w:t xml:space="preserve">. </w:t>
      </w:r>
      <w:r>
        <w:rPr>
          <w:rFonts w:hint="eastAsia"/>
          <w:b/>
        </w:rPr>
        <w:t xml:space="preserve">Throughput </w:t>
      </w:r>
      <w:r>
        <w:rPr>
          <w:b/>
        </w:rPr>
        <w:t xml:space="preserve">loss of </w:t>
      </w:r>
      <m:oMath>
        <m:sSubSup>
          <m:sSubSupPr>
            <m:ctrlPr>
              <w:rPr>
                <w:rFonts w:ascii="Cambria Math" w:hAnsi="Cambria Math"/>
              </w:rPr>
            </m:ctrlPr>
          </m:sSubSupPr>
          <m:e>
            <m:r>
              <m:rPr>
                <m:sty m:val="p"/>
              </m:rPr>
              <w:rPr>
                <w:rFonts w:hint="eastAsia" w:ascii="Cambria Math" w:hAnsi="Cambria Math"/>
              </w:rPr>
              <m:t>M</m:t>
            </m:r>
            <m:ctrlPr>
              <w:rPr>
                <w:rFonts w:ascii="Cambria Math" w:hAnsi="Cambria Math"/>
              </w:rPr>
            </m:ctrlPr>
          </m:e>
          <m:sub>
            <m:r>
              <w:rPr>
                <w:rFonts w:ascii="Cambria Math" w:hAnsi="Cambria Math"/>
              </w:rPr>
              <m:t>16</m:t>
            </m:r>
            <m:ctrlPr>
              <w:rPr>
                <w:rFonts w:ascii="Cambria Math" w:hAnsi="Cambria Math"/>
              </w:rPr>
            </m:ctrlPr>
          </m:sub>
          <m:sup>
            <m:r>
              <w:rPr>
                <w:rFonts w:ascii="Cambria Math" w:hAnsi="Cambria Math"/>
              </w:rPr>
              <m:t>32</m:t>
            </m:r>
            <m:ctrlPr>
              <w:rPr>
                <w:rFonts w:ascii="Cambria Math" w:hAnsi="Cambria Math"/>
              </w:rPr>
            </m:ctrlPr>
          </m:sup>
        </m:sSubSup>
      </m:oMath>
      <w:r>
        <w:rPr>
          <w:b/>
        </w:rPr>
        <w:t xml:space="preserve"> compared with </w:t>
      </w:r>
      <m:oMath>
        <m:sSubSup>
          <m:sSubSupPr>
            <m:ctrlPr>
              <w:rPr>
                <w:rFonts w:ascii="Cambria Math" w:hAnsi="Cambria Math"/>
              </w:rPr>
            </m:ctrlPr>
          </m:sSubSupPr>
          <m:e>
            <m:r>
              <m:rPr>
                <m:sty m:val="p"/>
              </m:rPr>
              <w:rPr>
                <w:rFonts w:hint="eastAsia" w:ascii="Cambria Math" w:hAnsi="Cambria Math"/>
              </w:rPr>
              <m:t>M</m:t>
            </m:r>
            <m:ctrlPr>
              <w:rPr>
                <w:rFonts w:ascii="Cambria Math" w:hAnsi="Cambria Math"/>
              </w:rPr>
            </m:ctrlPr>
          </m:e>
          <m:sub>
            <m:r>
              <w:rPr>
                <w:rFonts w:ascii="Cambria Math" w:hAnsi="Cambria Math"/>
              </w:rPr>
              <m:t>16</m:t>
            </m:r>
            <m:ctrlPr>
              <w:rPr>
                <w:rFonts w:ascii="Cambria Math" w:hAnsi="Cambria Math"/>
              </w:rPr>
            </m:ctrlPr>
          </m:sub>
          <m:sup>
            <m:ctrlPr>
              <w:rPr>
                <w:rFonts w:ascii="Cambria Math" w:hAnsi="Cambria Math"/>
              </w:rPr>
            </m:ctrlPr>
          </m:sup>
        </m:sSubSup>
      </m:oMath>
      <w:r>
        <w:rPr>
          <w:rFonts w:hint="eastAsia"/>
          <w:b/>
        </w:rPr>
        <w:t xml:space="preserve"> for</w:t>
      </w:r>
      <w:r>
        <w:rPr>
          <w:b/>
        </w:rPr>
        <w:t xml:space="preserve"> 16 ports </w:t>
      </w:r>
      <w:r>
        <w:rPr>
          <w:rFonts w:hint="eastAsia"/>
          <w:b/>
        </w:rPr>
        <w:t>(fixed rank)</w:t>
      </w:r>
    </w:p>
    <w:tbl>
      <w:tblPr>
        <w:tblStyle w:val="19"/>
        <w:tblW w:w="4993"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01"/>
        <w:gridCol w:w="903"/>
        <w:gridCol w:w="978"/>
        <w:gridCol w:w="978"/>
        <w:gridCol w:w="1016"/>
        <w:gridCol w:w="1016"/>
        <w:gridCol w:w="1016"/>
        <w:gridCol w:w="1016"/>
        <w:gridCol w:w="10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3" w:hRule="atLeast"/>
        </w:trPr>
        <w:tc>
          <w:tcPr>
            <w:tcW w:w="964" w:type="pct"/>
            <w:tcBorders>
              <w:top w:val="single" w:color="4F81BD" w:sz="8" w:space="0"/>
              <w:left w:val="single" w:color="4F81BD" w:sz="8" w:space="0"/>
              <w:bottom w:val="single" w:color="4F81BD" w:sz="8" w:space="0"/>
              <w:right w:val="dotted" w:color="auto" w:sz="4" w:space="0"/>
              <w:tl2br w:val="single" w:color="auto" w:sz="4" w:space="0"/>
            </w:tcBorders>
            <w:shd w:val="clear" w:color="auto" w:fill="4F81BD"/>
          </w:tcPr>
          <w:p>
            <w:pPr>
              <w:snapToGrid w:val="0"/>
              <w:spacing w:before="120" w:after="120"/>
              <w:ind w:firstLine="735" w:firstLineChars="350"/>
              <w:rPr>
                <w:color w:val="FFFFFF"/>
              </w:rPr>
            </w:pPr>
            <w:r>
              <w:rPr>
                <w:color w:val="FFFFFF"/>
              </w:rPr>
              <w:t>SNR(dB)</w:t>
            </w:r>
          </w:p>
          <w:p>
            <w:pPr>
              <w:snapToGrid w:val="0"/>
              <w:spacing w:before="120" w:after="120"/>
              <w:rPr>
                <w:color w:val="FFFFFF"/>
              </w:rPr>
            </w:pPr>
            <w:r>
              <w:rPr>
                <w:rFonts w:hint="eastAsia"/>
                <w:color w:val="FFFFFF"/>
              </w:rPr>
              <w:t>cases</w:t>
            </w:r>
          </w:p>
        </w:tc>
        <w:tc>
          <w:tcPr>
            <w:tcW w:w="458" w:type="pct"/>
            <w:tcBorders>
              <w:top w:val="single" w:color="4F81BD" w:sz="8" w:space="0"/>
              <w:left w:val="dotted" w:color="auto" w:sz="0" w:space="0"/>
              <w:bottom w:val="single" w:color="4F81BD" w:sz="8" w:space="0"/>
              <w:right w:val="dotted" w:color="auto" w:sz="4" w:space="0"/>
            </w:tcBorders>
            <w:shd w:val="clear" w:color="auto" w:fill="4F81BD"/>
            <w:vAlign w:val="center"/>
          </w:tcPr>
          <w:p>
            <w:pPr>
              <w:spacing w:before="120" w:after="120"/>
              <w:jc w:val="center"/>
              <w:rPr>
                <w:color w:val="FFFFFF"/>
              </w:rPr>
            </w:pPr>
            <w:r>
              <w:rPr>
                <w:color w:val="FFFFFF"/>
              </w:rPr>
              <w:t>-5</w:t>
            </w:r>
          </w:p>
        </w:tc>
        <w:tc>
          <w:tcPr>
            <w:tcW w:w="496" w:type="pct"/>
            <w:tcBorders>
              <w:top w:val="single" w:color="4F81BD" w:sz="8" w:space="0"/>
              <w:left w:val="dotted" w:color="auto" w:sz="0" w:space="0"/>
              <w:bottom w:val="single" w:color="4F81BD" w:sz="8" w:space="0"/>
              <w:right w:val="dotted" w:color="auto" w:sz="4" w:space="0"/>
            </w:tcBorders>
            <w:shd w:val="clear" w:color="auto" w:fill="4F81BD"/>
            <w:vAlign w:val="center"/>
          </w:tcPr>
          <w:p>
            <w:pPr>
              <w:spacing w:before="120" w:after="120"/>
              <w:jc w:val="center"/>
              <w:rPr>
                <w:color w:val="FFFFFF"/>
              </w:rPr>
            </w:pPr>
            <w:r>
              <w:rPr>
                <w:color w:val="FFFFFF"/>
              </w:rPr>
              <w:t>0</w:t>
            </w:r>
          </w:p>
        </w:tc>
        <w:tc>
          <w:tcPr>
            <w:tcW w:w="496" w:type="pct"/>
            <w:tcBorders>
              <w:top w:val="single" w:color="4F81BD" w:sz="8" w:space="0"/>
              <w:left w:val="dotted" w:color="auto" w:sz="0" w:space="0"/>
              <w:bottom w:val="single" w:color="4F81BD" w:sz="8" w:space="0"/>
              <w:right w:val="dotted" w:color="auto" w:sz="4" w:space="0"/>
            </w:tcBorders>
            <w:shd w:val="clear" w:color="auto" w:fill="4F81BD"/>
            <w:vAlign w:val="center"/>
          </w:tcPr>
          <w:p>
            <w:pPr>
              <w:spacing w:before="120" w:after="120"/>
              <w:jc w:val="center"/>
              <w:rPr>
                <w:color w:val="FFFFFF"/>
              </w:rPr>
            </w:pPr>
            <w:r>
              <w:rPr>
                <w:color w:val="FFFFFF"/>
              </w:rPr>
              <w:t>5</w:t>
            </w:r>
          </w:p>
        </w:tc>
        <w:tc>
          <w:tcPr>
            <w:tcW w:w="515" w:type="pct"/>
            <w:tcBorders>
              <w:top w:val="single" w:color="4F81BD" w:sz="8" w:space="0"/>
              <w:left w:val="dotted" w:color="auto" w:sz="0" w:space="0"/>
              <w:bottom w:val="single" w:color="4F81BD" w:sz="8" w:space="0"/>
              <w:right w:val="dotted" w:color="auto" w:sz="4" w:space="0"/>
            </w:tcBorders>
            <w:shd w:val="clear" w:color="auto" w:fill="4F81BD"/>
            <w:vAlign w:val="center"/>
          </w:tcPr>
          <w:p>
            <w:pPr>
              <w:spacing w:before="120" w:after="120"/>
              <w:jc w:val="center"/>
              <w:rPr>
                <w:color w:val="FFFFFF"/>
              </w:rPr>
            </w:pPr>
            <w:r>
              <w:rPr>
                <w:color w:val="FFFFFF"/>
              </w:rPr>
              <w:t>10</w:t>
            </w:r>
          </w:p>
        </w:tc>
        <w:tc>
          <w:tcPr>
            <w:tcW w:w="515" w:type="pct"/>
            <w:tcBorders>
              <w:top w:val="single" w:color="4F81BD" w:sz="8" w:space="0"/>
              <w:left w:val="dotted" w:color="auto" w:sz="0" w:space="0"/>
              <w:bottom w:val="single" w:color="4F81BD" w:sz="8" w:space="0"/>
              <w:right w:val="dotted" w:color="auto" w:sz="4" w:space="0"/>
            </w:tcBorders>
            <w:shd w:val="clear" w:color="auto" w:fill="4F81BD"/>
            <w:vAlign w:val="center"/>
          </w:tcPr>
          <w:p>
            <w:pPr>
              <w:spacing w:before="120" w:after="120"/>
              <w:jc w:val="center"/>
              <w:rPr>
                <w:color w:val="FFFFFF"/>
              </w:rPr>
            </w:pPr>
            <w:r>
              <w:rPr>
                <w:color w:val="FFFFFF"/>
              </w:rPr>
              <w:t>15</w:t>
            </w:r>
          </w:p>
        </w:tc>
        <w:tc>
          <w:tcPr>
            <w:tcW w:w="515" w:type="pct"/>
            <w:tcBorders>
              <w:top w:val="single" w:color="4F81BD" w:sz="8" w:space="0"/>
              <w:left w:val="dotted" w:color="auto" w:sz="0" w:space="0"/>
              <w:bottom w:val="single" w:color="4F81BD" w:sz="8" w:space="0"/>
              <w:right w:val="dotted" w:color="auto" w:sz="4" w:space="0"/>
            </w:tcBorders>
            <w:shd w:val="clear" w:color="auto" w:fill="4F81BD"/>
            <w:vAlign w:val="center"/>
          </w:tcPr>
          <w:p>
            <w:pPr>
              <w:spacing w:before="120" w:after="120"/>
              <w:jc w:val="center"/>
              <w:rPr>
                <w:color w:val="FFFFFF"/>
              </w:rPr>
            </w:pPr>
            <w:r>
              <w:rPr>
                <w:color w:val="FFFFFF"/>
              </w:rPr>
              <w:t>20</w:t>
            </w:r>
          </w:p>
        </w:tc>
        <w:tc>
          <w:tcPr>
            <w:tcW w:w="515" w:type="pct"/>
            <w:tcBorders>
              <w:top w:val="single" w:color="4F81BD" w:sz="8" w:space="0"/>
              <w:left w:val="dotted" w:color="auto" w:sz="0" w:space="0"/>
              <w:bottom w:val="single" w:color="4F81BD" w:sz="8" w:space="0"/>
              <w:right w:val="dotted" w:color="auto" w:sz="4" w:space="0"/>
            </w:tcBorders>
            <w:shd w:val="clear" w:color="auto" w:fill="4F81BD"/>
            <w:vAlign w:val="center"/>
          </w:tcPr>
          <w:p>
            <w:pPr>
              <w:spacing w:before="120" w:after="120"/>
              <w:jc w:val="center"/>
              <w:rPr>
                <w:color w:val="FFFFFF"/>
              </w:rPr>
            </w:pPr>
            <w:r>
              <w:rPr>
                <w:color w:val="FFFFFF"/>
              </w:rPr>
              <w:t>25</w:t>
            </w:r>
          </w:p>
        </w:tc>
        <w:tc>
          <w:tcPr>
            <w:tcW w:w="524" w:type="pct"/>
            <w:tcBorders>
              <w:top w:val="single" w:color="4F81BD" w:sz="8" w:space="0"/>
              <w:left w:val="dotted" w:color="auto" w:sz="0" w:space="0"/>
              <w:bottom w:val="single" w:color="4F81BD" w:sz="8" w:space="0"/>
              <w:right w:val="single" w:color="4F81BD" w:sz="8" w:space="0"/>
            </w:tcBorders>
            <w:shd w:val="clear" w:color="auto" w:fill="4F81BD"/>
            <w:vAlign w:val="center"/>
          </w:tcPr>
          <w:p>
            <w:pPr>
              <w:spacing w:before="120" w:after="120"/>
              <w:jc w:val="center"/>
              <w:rPr>
                <w:color w:val="FFFFFF"/>
              </w:rPr>
            </w:pPr>
            <w:r>
              <w:rPr>
                <w:color w:val="FFFFFF"/>
              </w:rPr>
              <w:t>Average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9"/>
            <w:tcBorders>
              <w:top w:val="single" w:color="auto" w:sz="4" w:space="0"/>
              <w:left w:val="single" w:color="auto" w:sz="4" w:space="0"/>
              <w:bottom w:val="single" w:color="auto" w:sz="4" w:space="0"/>
              <w:right w:val="single" w:color="auto" w:sz="4" w:space="0"/>
            </w:tcBorders>
            <w:vAlign w:val="center"/>
          </w:tcPr>
          <w:p>
            <w:pPr>
              <w:spacing w:before="120" w:after="120"/>
              <w:jc w:val="center"/>
              <w:textAlignment w:val="center"/>
            </w:pPr>
            <w:r>
              <w:rPr>
                <w:rFonts w:hint="eastAsia"/>
                <w:position w:val="-6"/>
              </w:rPr>
              <w:t xml:space="preserve">Configuration: </w:t>
            </w:r>
            <w:r>
              <w:rPr>
                <w:position w:val="-6"/>
              </w:rPr>
              <w:t>8</w:t>
            </w:r>
            <w:r>
              <w:rPr>
                <w:rFonts w:hint="eastAsia"/>
                <w:position w:val="-6"/>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4" w:type="pct"/>
            <w:tcBorders>
              <w:top w:val="single" w:color="4F81BD" w:sz="8" w:space="0"/>
              <w:left w:val="single" w:color="4F81BD" w:sz="8" w:space="0"/>
              <w:bottom w:val="single" w:color="4F81BD" w:sz="12" w:space="0"/>
              <w:right w:val="single" w:color="4F81BD" w:sz="8" w:space="0"/>
            </w:tcBorders>
            <w:shd w:val="clear" w:color="auto" w:fill="FFFFFF"/>
            <w:vAlign w:val="center"/>
          </w:tcPr>
          <w:p>
            <w:pPr>
              <w:spacing w:before="120" w:after="120"/>
              <w:jc w:val="center"/>
              <w:rPr>
                <w:color w:val="000000"/>
              </w:rPr>
            </w:pPr>
            <w:r>
              <w:rPr>
                <w:rFonts w:hint="eastAsia"/>
                <w:color w:val="000000"/>
              </w:rPr>
              <w:t>Rank = 1</w:t>
            </w:r>
          </w:p>
        </w:tc>
        <w:tc>
          <w:tcPr>
            <w:tcW w:w="458" w:type="pct"/>
            <w:tcBorders>
              <w:top w:val="single" w:color="4F81BD" w:sz="8" w:space="0"/>
              <w:left w:val="single" w:color="4F81BD" w:sz="8" w:space="0"/>
              <w:bottom w:val="single" w:color="4F81BD" w:sz="12" w:space="0"/>
              <w:right w:val="single" w:color="4F81BD" w:sz="8" w:space="0"/>
            </w:tcBorders>
            <w:shd w:val="clear" w:color="auto" w:fill="FFFFFF"/>
            <w:vAlign w:val="center"/>
          </w:tcPr>
          <w:p>
            <w:pPr>
              <w:spacing w:before="120" w:after="120"/>
              <w:jc w:val="center"/>
              <w:textAlignment w:val="center"/>
              <w:rPr>
                <w:color w:val="000000"/>
              </w:rPr>
            </w:pPr>
            <w:r>
              <w:rPr>
                <w:color w:val="000000"/>
                <w:kern w:val="0"/>
                <w:sz w:val="20"/>
              </w:rPr>
              <w:t>-6.44%</w:t>
            </w:r>
          </w:p>
        </w:tc>
        <w:tc>
          <w:tcPr>
            <w:tcW w:w="496" w:type="pct"/>
            <w:tcBorders>
              <w:top w:val="single" w:color="4F81BD" w:sz="8" w:space="0"/>
              <w:left w:val="single" w:color="4F81BD" w:sz="8" w:space="0"/>
              <w:bottom w:val="single" w:color="4F81BD" w:sz="12" w:space="0"/>
              <w:right w:val="single" w:color="4F81BD" w:sz="8" w:space="0"/>
            </w:tcBorders>
            <w:shd w:val="clear" w:color="auto" w:fill="FFFFFF"/>
            <w:vAlign w:val="center"/>
          </w:tcPr>
          <w:p>
            <w:pPr>
              <w:spacing w:before="120" w:after="120"/>
              <w:jc w:val="center"/>
              <w:textAlignment w:val="center"/>
              <w:rPr>
                <w:color w:val="000000"/>
              </w:rPr>
            </w:pPr>
            <w:r>
              <w:rPr>
                <w:color w:val="000000"/>
                <w:kern w:val="0"/>
                <w:sz w:val="20"/>
              </w:rPr>
              <w:t>-4.87%</w:t>
            </w:r>
          </w:p>
        </w:tc>
        <w:tc>
          <w:tcPr>
            <w:tcW w:w="496" w:type="pct"/>
            <w:tcBorders>
              <w:top w:val="single" w:color="4F81BD" w:sz="8" w:space="0"/>
              <w:left w:val="single" w:color="4F81BD" w:sz="8" w:space="0"/>
              <w:bottom w:val="single" w:color="4F81BD" w:sz="12" w:space="0"/>
              <w:right w:val="single" w:color="4F81BD" w:sz="8" w:space="0"/>
            </w:tcBorders>
            <w:shd w:val="clear" w:color="auto" w:fill="FFFFFF"/>
            <w:vAlign w:val="center"/>
          </w:tcPr>
          <w:p>
            <w:pPr>
              <w:spacing w:before="120" w:after="120"/>
              <w:jc w:val="center"/>
              <w:textAlignment w:val="center"/>
              <w:rPr>
                <w:color w:val="000000"/>
              </w:rPr>
            </w:pPr>
            <w:r>
              <w:rPr>
                <w:color w:val="000000"/>
                <w:kern w:val="0"/>
                <w:sz w:val="20"/>
              </w:rPr>
              <w:t>-0.08%</w:t>
            </w:r>
          </w:p>
        </w:tc>
        <w:tc>
          <w:tcPr>
            <w:tcW w:w="515" w:type="pct"/>
            <w:tcBorders>
              <w:top w:val="single" w:color="4F81BD" w:sz="8" w:space="0"/>
              <w:left w:val="single" w:color="4F81BD" w:sz="8" w:space="0"/>
              <w:bottom w:val="single" w:color="4F81BD" w:sz="12" w:space="0"/>
              <w:right w:val="single" w:color="4F81BD" w:sz="8" w:space="0"/>
            </w:tcBorders>
            <w:shd w:val="clear" w:color="auto" w:fill="FFFFFF"/>
            <w:vAlign w:val="center"/>
          </w:tcPr>
          <w:p>
            <w:pPr>
              <w:spacing w:before="120" w:after="120"/>
              <w:jc w:val="center"/>
              <w:textAlignment w:val="center"/>
              <w:rPr>
                <w:color w:val="000000"/>
              </w:rPr>
            </w:pPr>
            <w:r>
              <w:rPr>
                <w:color w:val="000000"/>
                <w:kern w:val="0"/>
                <w:sz w:val="20"/>
              </w:rPr>
              <w:t>-0.13%</w:t>
            </w:r>
          </w:p>
        </w:tc>
        <w:tc>
          <w:tcPr>
            <w:tcW w:w="515" w:type="pct"/>
            <w:tcBorders>
              <w:top w:val="single" w:color="4F81BD" w:sz="8" w:space="0"/>
              <w:left w:val="single" w:color="4F81BD" w:sz="8" w:space="0"/>
              <w:bottom w:val="single" w:color="4F81BD" w:sz="12" w:space="0"/>
              <w:right w:val="single" w:color="4F81BD" w:sz="8" w:space="0"/>
            </w:tcBorders>
            <w:shd w:val="clear" w:color="auto" w:fill="FFFFFF"/>
            <w:vAlign w:val="center"/>
          </w:tcPr>
          <w:p>
            <w:pPr>
              <w:spacing w:before="120" w:after="120"/>
              <w:jc w:val="center"/>
              <w:textAlignment w:val="center"/>
              <w:rPr>
                <w:color w:val="000000"/>
              </w:rPr>
            </w:pPr>
            <w:r>
              <w:rPr>
                <w:color w:val="000000"/>
                <w:kern w:val="0"/>
                <w:sz w:val="20"/>
              </w:rPr>
              <w:t>-0.01%</w:t>
            </w:r>
          </w:p>
        </w:tc>
        <w:tc>
          <w:tcPr>
            <w:tcW w:w="515" w:type="pct"/>
            <w:tcBorders>
              <w:top w:val="single" w:color="4F81BD" w:sz="8" w:space="0"/>
              <w:left w:val="single" w:color="4F81BD" w:sz="8" w:space="0"/>
              <w:bottom w:val="single" w:color="4F81BD" w:sz="12" w:space="0"/>
              <w:right w:val="single" w:color="4F81BD" w:sz="8" w:space="0"/>
            </w:tcBorders>
            <w:shd w:val="clear" w:color="auto" w:fill="FFFFFF"/>
            <w:vAlign w:val="center"/>
          </w:tcPr>
          <w:p>
            <w:pPr>
              <w:spacing w:before="120" w:after="120"/>
              <w:jc w:val="center"/>
              <w:textAlignment w:val="center"/>
              <w:rPr>
                <w:color w:val="000000"/>
              </w:rPr>
            </w:pPr>
            <w:r>
              <w:rPr>
                <w:color w:val="000000"/>
                <w:kern w:val="0"/>
                <w:sz w:val="20"/>
              </w:rPr>
              <w:t>0.00%</w:t>
            </w:r>
          </w:p>
        </w:tc>
        <w:tc>
          <w:tcPr>
            <w:tcW w:w="515" w:type="pct"/>
            <w:tcBorders>
              <w:top w:val="single" w:color="4F81BD" w:sz="8" w:space="0"/>
              <w:left w:val="single" w:color="4F81BD" w:sz="8" w:space="0"/>
              <w:bottom w:val="single" w:color="4F81BD" w:sz="12" w:space="0"/>
              <w:right w:val="single" w:color="4F81BD" w:sz="8" w:space="0"/>
            </w:tcBorders>
            <w:shd w:val="clear" w:color="auto" w:fill="FFFFFF"/>
            <w:vAlign w:val="center"/>
          </w:tcPr>
          <w:p>
            <w:pPr>
              <w:spacing w:before="120" w:after="120"/>
              <w:jc w:val="center"/>
              <w:textAlignment w:val="center"/>
              <w:rPr>
                <w:color w:val="000000"/>
              </w:rPr>
            </w:pPr>
            <w:r>
              <w:rPr>
                <w:color w:val="000000"/>
                <w:kern w:val="0"/>
                <w:sz w:val="20"/>
              </w:rPr>
              <w:t>0.00%</w:t>
            </w:r>
          </w:p>
        </w:tc>
        <w:tc>
          <w:tcPr>
            <w:tcW w:w="524" w:type="pct"/>
            <w:tcBorders>
              <w:top w:val="single" w:color="4F81BD" w:sz="8" w:space="0"/>
              <w:left w:val="single" w:color="4F81BD" w:sz="8" w:space="0"/>
              <w:bottom w:val="single" w:color="4F81BD" w:sz="12" w:space="0"/>
              <w:right w:val="single" w:color="4F81BD" w:sz="8" w:space="0"/>
            </w:tcBorders>
            <w:shd w:val="clear" w:color="auto" w:fill="FFFFFF"/>
            <w:vAlign w:val="center"/>
          </w:tcPr>
          <w:p>
            <w:pPr>
              <w:spacing w:before="120" w:after="120"/>
              <w:jc w:val="center"/>
              <w:textAlignment w:val="center"/>
              <w:rPr>
                <w:rFonts w:ascii="宋体" w:hAnsi="宋体"/>
                <w:color w:val="000000"/>
                <w:sz w:val="24"/>
                <w:szCs w:val="24"/>
              </w:rPr>
            </w:pPr>
            <w:r>
              <w:rPr>
                <w:color w:val="000000"/>
                <w:kern w:val="0"/>
                <w:sz w:val="20"/>
              </w:rPr>
              <w:t>-1.65%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4" w:type="pct"/>
            <w:tcBorders>
              <w:top w:val="single" w:color="4F81BD" w:sz="12" w:space="0"/>
              <w:left w:val="single" w:color="4F81BD" w:sz="8" w:space="0"/>
              <w:bottom w:val="single" w:color="4F81BD" w:sz="8" w:space="0"/>
              <w:right w:val="single" w:color="4F81BD" w:sz="8" w:space="0"/>
            </w:tcBorders>
            <w:shd w:val="clear" w:color="auto" w:fill="DBE5F1"/>
            <w:vAlign w:val="center"/>
          </w:tcPr>
          <w:p>
            <w:pPr>
              <w:spacing w:before="120" w:after="120"/>
              <w:jc w:val="center"/>
              <w:rPr>
                <w:color w:val="000000"/>
                <w:szCs w:val="21"/>
              </w:rPr>
            </w:pPr>
            <w:r>
              <w:rPr>
                <w:rFonts w:hint="eastAsia"/>
                <w:color w:val="000000"/>
              </w:rPr>
              <w:t>Rank = 2</w:t>
            </w:r>
          </w:p>
        </w:tc>
        <w:tc>
          <w:tcPr>
            <w:tcW w:w="458" w:type="pct"/>
            <w:tcBorders>
              <w:top w:val="single" w:color="4F81BD" w:sz="12" w:space="0"/>
              <w:left w:val="single" w:color="4F81BD" w:sz="8" w:space="0"/>
              <w:bottom w:val="single" w:color="4F81BD" w:sz="8" w:space="0"/>
              <w:right w:val="single" w:color="4F81BD" w:sz="8" w:space="0"/>
            </w:tcBorders>
            <w:shd w:val="clear" w:color="auto" w:fill="DBE5F1"/>
            <w:vAlign w:val="center"/>
          </w:tcPr>
          <w:p>
            <w:pPr>
              <w:spacing w:before="120" w:after="120"/>
              <w:jc w:val="center"/>
              <w:textAlignment w:val="center"/>
              <w:rPr>
                <w:color w:val="000000"/>
              </w:rPr>
            </w:pPr>
            <w:r>
              <w:rPr>
                <w:color w:val="000000"/>
                <w:kern w:val="0"/>
                <w:sz w:val="20"/>
              </w:rPr>
              <w:t>-3.95%</w:t>
            </w:r>
          </w:p>
        </w:tc>
        <w:tc>
          <w:tcPr>
            <w:tcW w:w="496" w:type="pct"/>
            <w:tcBorders>
              <w:top w:val="single" w:color="4F81BD" w:sz="12" w:space="0"/>
              <w:left w:val="single" w:color="4F81BD" w:sz="8" w:space="0"/>
              <w:bottom w:val="single" w:color="4F81BD" w:sz="8" w:space="0"/>
              <w:right w:val="single" w:color="4F81BD" w:sz="8" w:space="0"/>
            </w:tcBorders>
            <w:shd w:val="clear" w:color="auto" w:fill="DBE5F1"/>
            <w:vAlign w:val="center"/>
          </w:tcPr>
          <w:p>
            <w:pPr>
              <w:spacing w:before="120" w:after="120"/>
              <w:jc w:val="center"/>
              <w:textAlignment w:val="center"/>
              <w:rPr>
                <w:color w:val="000000"/>
              </w:rPr>
            </w:pPr>
            <w:r>
              <w:rPr>
                <w:color w:val="000000"/>
                <w:kern w:val="0"/>
                <w:sz w:val="20"/>
              </w:rPr>
              <w:t>-2.88%</w:t>
            </w:r>
          </w:p>
        </w:tc>
        <w:tc>
          <w:tcPr>
            <w:tcW w:w="496" w:type="pct"/>
            <w:tcBorders>
              <w:top w:val="single" w:color="4F81BD" w:sz="12" w:space="0"/>
              <w:left w:val="single" w:color="4F81BD" w:sz="8" w:space="0"/>
              <w:bottom w:val="single" w:color="4F81BD" w:sz="8" w:space="0"/>
              <w:right w:val="single" w:color="4F81BD" w:sz="8" w:space="0"/>
            </w:tcBorders>
            <w:shd w:val="clear" w:color="auto" w:fill="DBE5F1"/>
            <w:vAlign w:val="center"/>
          </w:tcPr>
          <w:p>
            <w:pPr>
              <w:spacing w:before="120" w:after="120"/>
              <w:jc w:val="center"/>
              <w:textAlignment w:val="center"/>
              <w:rPr>
                <w:color w:val="000000"/>
              </w:rPr>
            </w:pPr>
            <w:r>
              <w:rPr>
                <w:color w:val="000000"/>
                <w:kern w:val="0"/>
                <w:sz w:val="20"/>
              </w:rPr>
              <w:t>-2.22%</w:t>
            </w:r>
          </w:p>
        </w:tc>
        <w:tc>
          <w:tcPr>
            <w:tcW w:w="515" w:type="pct"/>
            <w:tcBorders>
              <w:top w:val="single" w:color="4F81BD" w:sz="12" w:space="0"/>
              <w:left w:val="single" w:color="4F81BD" w:sz="8" w:space="0"/>
              <w:bottom w:val="single" w:color="4F81BD" w:sz="8" w:space="0"/>
              <w:right w:val="single" w:color="4F81BD" w:sz="8" w:space="0"/>
            </w:tcBorders>
            <w:shd w:val="clear" w:color="auto" w:fill="DBE5F1"/>
            <w:vAlign w:val="center"/>
          </w:tcPr>
          <w:p>
            <w:pPr>
              <w:spacing w:before="120" w:after="120"/>
              <w:jc w:val="center"/>
              <w:textAlignment w:val="center"/>
              <w:rPr>
                <w:color w:val="000000"/>
              </w:rPr>
            </w:pPr>
            <w:r>
              <w:rPr>
                <w:color w:val="000000"/>
                <w:kern w:val="0"/>
                <w:sz w:val="20"/>
              </w:rPr>
              <w:t>-0.13%</w:t>
            </w:r>
          </w:p>
        </w:tc>
        <w:tc>
          <w:tcPr>
            <w:tcW w:w="515" w:type="pct"/>
            <w:tcBorders>
              <w:top w:val="single" w:color="4F81BD" w:sz="12" w:space="0"/>
              <w:left w:val="single" w:color="4F81BD" w:sz="8" w:space="0"/>
              <w:bottom w:val="single" w:color="4F81BD" w:sz="8" w:space="0"/>
              <w:right w:val="single" w:color="4F81BD" w:sz="8" w:space="0"/>
            </w:tcBorders>
            <w:shd w:val="clear" w:color="auto" w:fill="DBE5F1"/>
            <w:vAlign w:val="center"/>
          </w:tcPr>
          <w:p>
            <w:pPr>
              <w:spacing w:before="120" w:after="120"/>
              <w:jc w:val="center"/>
              <w:textAlignment w:val="center"/>
              <w:rPr>
                <w:color w:val="000000"/>
              </w:rPr>
            </w:pPr>
            <w:r>
              <w:rPr>
                <w:color w:val="000000"/>
                <w:kern w:val="0"/>
                <w:sz w:val="20"/>
              </w:rPr>
              <w:t>-0.17%</w:t>
            </w:r>
          </w:p>
        </w:tc>
        <w:tc>
          <w:tcPr>
            <w:tcW w:w="515" w:type="pct"/>
            <w:tcBorders>
              <w:top w:val="single" w:color="4F81BD" w:sz="12" w:space="0"/>
              <w:left w:val="single" w:color="4F81BD" w:sz="8" w:space="0"/>
              <w:bottom w:val="single" w:color="4F81BD" w:sz="8" w:space="0"/>
              <w:right w:val="single" w:color="4F81BD" w:sz="8" w:space="0"/>
            </w:tcBorders>
            <w:shd w:val="clear" w:color="auto" w:fill="DBE5F1"/>
            <w:vAlign w:val="center"/>
          </w:tcPr>
          <w:p>
            <w:pPr>
              <w:spacing w:before="120" w:after="120"/>
              <w:jc w:val="center"/>
              <w:textAlignment w:val="center"/>
              <w:rPr>
                <w:color w:val="000000"/>
              </w:rPr>
            </w:pPr>
            <w:r>
              <w:rPr>
                <w:color w:val="000000"/>
                <w:kern w:val="0"/>
                <w:sz w:val="20"/>
              </w:rPr>
              <w:t>-0.15%</w:t>
            </w:r>
          </w:p>
        </w:tc>
        <w:tc>
          <w:tcPr>
            <w:tcW w:w="515" w:type="pct"/>
            <w:tcBorders>
              <w:top w:val="single" w:color="4F81BD" w:sz="12" w:space="0"/>
              <w:left w:val="single" w:color="4F81BD" w:sz="8" w:space="0"/>
              <w:bottom w:val="single" w:color="4F81BD" w:sz="8" w:space="0"/>
              <w:right w:val="single" w:color="4F81BD" w:sz="8" w:space="0"/>
            </w:tcBorders>
            <w:shd w:val="clear" w:color="auto" w:fill="DBE5F1"/>
            <w:vAlign w:val="center"/>
          </w:tcPr>
          <w:p>
            <w:pPr>
              <w:spacing w:before="120" w:after="120"/>
              <w:jc w:val="center"/>
              <w:textAlignment w:val="center"/>
              <w:rPr>
                <w:color w:val="000000"/>
              </w:rPr>
            </w:pPr>
            <w:r>
              <w:rPr>
                <w:color w:val="000000"/>
                <w:kern w:val="0"/>
                <w:sz w:val="20"/>
              </w:rPr>
              <w:t>-0.14%</w:t>
            </w:r>
          </w:p>
        </w:tc>
        <w:tc>
          <w:tcPr>
            <w:tcW w:w="524" w:type="pct"/>
            <w:tcBorders>
              <w:top w:val="single" w:color="4F81BD" w:sz="12" w:space="0"/>
              <w:left w:val="single" w:color="4F81BD" w:sz="8" w:space="0"/>
              <w:bottom w:val="single" w:color="4F81BD" w:sz="8" w:space="0"/>
              <w:right w:val="single" w:color="4F81BD" w:sz="8" w:space="0"/>
            </w:tcBorders>
            <w:shd w:val="clear" w:color="auto" w:fill="DBE5F1"/>
            <w:vAlign w:val="center"/>
          </w:tcPr>
          <w:p>
            <w:pPr>
              <w:spacing w:before="120" w:after="120"/>
              <w:jc w:val="center"/>
              <w:textAlignment w:val="center"/>
              <w:rPr>
                <w:rFonts w:ascii="宋体" w:hAnsi="宋体"/>
                <w:color w:val="000000"/>
                <w:sz w:val="24"/>
                <w:szCs w:val="24"/>
              </w:rPr>
            </w:pPr>
            <w:r>
              <w:rPr>
                <w:color w:val="000000"/>
                <w:kern w:val="0"/>
                <w:sz w:val="20"/>
              </w:rPr>
              <w:t>-1.38%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4" w:type="pct"/>
            <w:tcBorders>
              <w:top w:val="single" w:color="4F81BD" w:sz="8" w:space="0"/>
              <w:left w:val="single" w:color="4F81BD" w:sz="8" w:space="0"/>
              <w:bottom w:val="single" w:color="4F81BD" w:sz="8" w:space="0"/>
              <w:right w:val="single" w:color="4F81BD" w:sz="8" w:space="0"/>
            </w:tcBorders>
            <w:shd w:val="clear" w:color="auto" w:fill="FFFFFF"/>
            <w:vAlign w:val="center"/>
          </w:tcPr>
          <w:p>
            <w:pPr>
              <w:spacing w:before="120" w:after="120"/>
              <w:jc w:val="center"/>
              <w:rPr>
                <w:color w:val="000000"/>
                <w:szCs w:val="21"/>
              </w:rPr>
            </w:pPr>
            <w:r>
              <w:rPr>
                <w:rFonts w:hint="eastAsia"/>
                <w:color w:val="000000"/>
              </w:rPr>
              <w:t>Rank = 3</w:t>
            </w:r>
          </w:p>
        </w:tc>
        <w:tc>
          <w:tcPr>
            <w:tcW w:w="458" w:type="pct"/>
            <w:tcBorders>
              <w:top w:val="single" w:color="4F81BD" w:sz="8" w:space="0"/>
              <w:left w:val="single" w:color="4F81BD" w:sz="8" w:space="0"/>
              <w:bottom w:val="single" w:color="4F81BD" w:sz="8" w:space="0"/>
              <w:right w:val="single" w:color="4F81BD" w:sz="8" w:space="0"/>
            </w:tcBorders>
            <w:shd w:val="clear" w:color="auto" w:fill="FFFFFF"/>
            <w:vAlign w:val="center"/>
          </w:tcPr>
          <w:p>
            <w:pPr>
              <w:spacing w:before="120" w:after="120"/>
              <w:jc w:val="center"/>
              <w:textAlignment w:val="center"/>
              <w:rPr>
                <w:color w:val="000000"/>
              </w:rPr>
            </w:pPr>
            <w:r>
              <w:rPr>
                <w:color w:val="000000"/>
                <w:kern w:val="0"/>
                <w:sz w:val="20"/>
              </w:rPr>
              <w:t>0.</w:t>
            </w:r>
            <w:r>
              <w:rPr>
                <w:rFonts w:hint="eastAsia"/>
                <w:color w:val="000000"/>
                <w:kern w:val="0"/>
                <w:sz w:val="20"/>
              </w:rPr>
              <w:t>35</w:t>
            </w:r>
            <w:r>
              <w:rPr>
                <w:color w:val="000000"/>
                <w:kern w:val="0"/>
                <w:sz w:val="20"/>
              </w:rPr>
              <w:t>%</w:t>
            </w:r>
          </w:p>
        </w:tc>
        <w:tc>
          <w:tcPr>
            <w:tcW w:w="496" w:type="pct"/>
            <w:tcBorders>
              <w:top w:val="single" w:color="4F81BD" w:sz="8" w:space="0"/>
              <w:left w:val="single" w:color="4F81BD" w:sz="8" w:space="0"/>
              <w:bottom w:val="single" w:color="4F81BD" w:sz="8" w:space="0"/>
              <w:right w:val="single" w:color="4F81BD" w:sz="8" w:space="0"/>
            </w:tcBorders>
            <w:shd w:val="clear" w:color="auto" w:fill="FFFFFF"/>
            <w:vAlign w:val="center"/>
          </w:tcPr>
          <w:p>
            <w:pPr>
              <w:spacing w:before="120" w:after="120"/>
              <w:jc w:val="center"/>
              <w:textAlignment w:val="center"/>
              <w:rPr>
                <w:color w:val="000000"/>
              </w:rPr>
            </w:pPr>
            <w:r>
              <w:rPr>
                <w:color w:val="000000"/>
                <w:kern w:val="0"/>
                <w:sz w:val="20"/>
              </w:rPr>
              <w:t>-1.</w:t>
            </w:r>
            <w:r>
              <w:rPr>
                <w:rFonts w:hint="eastAsia"/>
                <w:color w:val="000000"/>
                <w:kern w:val="0"/>
                <w:sz w:val="20"/>
              </w:rPr>
              <w:t>9</w:t>
            </w:r>
            <w:r>
              <w:rPr>
                <w:color w:val="000000"/>
                <w:kern w:val="0"/>
                <w:sz w:val="20"/>
              </w:rPr>
              <w:t>%</w:t>
            </w:r>
          </w:p>
        </w:tc>
        <w:tc>
          <w:tcPr>
            <w:tcW w:w="496" w:type="pct"/>
            <w:tcBorders>
              <w:top w:val="single" w:color="4F81BD" w:sz="8" w:space="0"/>
              <w:left w:val="single" w:color="4F81BD" w:sz="8" w:space="0"/>
              <w:bottom w:val="single" w:color="4F81BD" w:sz="8" w:space="0"/>
              <w:right w:val="single" w:color="4F81BD" w:sz="8" w:space="0"/>
            </w:tcBorders>
            <w:shd w:val="clear" w:color="auto" w:fill="FFFFFF"/>
            <w:vAlign w:val="center"/>
          </w:tcPr>
          <w:p>
            <w:pPr>
              <w:spacing w:before="120" w:after="120"/>
              <w:jc w:val="center"/>
              <w:textAlignment w:val="center"/>
              <w:rPr>
                <w:color w:val="000000"/>
              </w:rPr>
            </w:pPr>
            <w:r>
              <w:rPr>
                <w:color w:val="000000"/>
                <w:kern w:val="0"/>
                <w:sz w:val="20"/>
              </w:rPr>
              <w:t>-1.</w:t>
            </w:r>
            <w:r>
              <w:rPr>
                <w:rFonts w:hint="eastAsia"/>
                <w:color w:val="000000"/>
                <w:kern w:val="0"/>
                <w:sz w:val="20"/>
              </w:rPr>
              <w:t>2</w:t>
            </w:r>
            <w:r>
              <w:rPr>
                <w:color w:val="000000"/>
                <w:kern w:val="0"/>
                <w:sz w:val="20"/>
              </w:rPr>
              <w:t>%</w:t>
            </w:r>
          </w:p>
        </w:tc>
        <w:tc>
          <w:tcPr>
            <w:tcW w:w="515" w:type="pct"/>
            <w:tcBorders>
              <w:top w:val="single" w:color="4F81BD" w:sz="8" w:space="0"/>
              <w:left w:val="single" w:color="4F81BD" w:sz="8" w:space="0"/>
              <w:bottom w:val="single" w:color="4F81BD" w:sz="8" w:space="0"/>
              <w:right w:val="single" w:color="4F81BD" w:sz="8" w:space="0"/>
            </w:tcBorders>
            <w:shd w:val="clear" w:color="auto" w:fill="FFFFFF"/>
            <w:vAlign w:val="center"/>
          </w:tcPr>
          <w:p>
            <w:pPr>
              <w:spacing w:before="120" w:after="120"/>
              <w:jc w:val="center"/>
              <w:textAlignment w:val="center"/>
              <w:rPr>
                <w:color w:val="000000"/>
              </w:rPr>
            </w:pPr>
            <w:r>
              <w:rPr>
                <w:rFonts w:hint="eastAsia"/>
                <w:color w:val="000000"/>
                <w:kern w:val="0"/>
                <w:sz w:val="20"/>
              </w:rPr>
              <w:t>-0</w:t>
            </w:r>
            <w:r>
              <w:rPr>
                <w:color w:val="000000"/>
                <w:kern w:val="0"/>
                <w:sz w:val="20"/>
              </w:rPr>
              <w:t>.</w:t>
            </w:r>
            <w:r>
              <w:rPr>
                <w:rFonts w:hint="eastAsia"/>
                <w:color w:val="000000"/>
                <w:kern w:val="0"/>
                <w:sz w:val="20"/>
              </w:rPr>
              <w:t>18</w:t>
            </w:r>
            <w:r>
              <w:rPr>
                <w:color w:val="000000"/>
                <w:kern w:val="0"/>
                <w:sz w:val="20"/>
              </w:rPr>
              <w:t>%</w:t>
            </w:r>
          </w:p>
        </w:tc>
        <w:tc>
          <w:tcPr>
            <w:tcW w:w="515" w:type="pct"/>
            <w:tcBorders>
              <w:top w:val="single" w:color="4F81BD" w:sz="8" w:space="0"/>
              <w:left w:val="single" w:color="4F81BD" w:sz="8" w:space="0"/>
              <w:bottom w:val="single" w:color="4F81BD" w:sz="8" w:space="0"/>
              <w:right w:val="single" w:color="4F81BD" w:sz="8" w:space="0"/>
            </w:tcBorders>
            <w:shd w:val="clear" w:color="auto" w:fill="FFFFFF"/>
            <w:vAlign w:val="center"/>
          </w:tcPr>
          <w:p>
            <w:pPr>
              <w:spacing w:before="120" w:after="120"/>
              <w:jc w:val="center"/>
              <w:textAlignment w:val="center"/>
              <w:rPr>
                <w:color w:val="000000"/>
              </w:rPr>
            </w:pPr>
            <w:r>
              <w:rPr>
                <w:color w:val="000000"/>
                <w:kern w:val="0"/>
                <w:sz w:val="20"/>
              </w:rPr>
              <w:t>0.</w:t>
            </w:r>
            <w:r>
              <w:rPr>
                <w:rFonts w:hint="eastAsia"/>
                <w:color w:val="000000"/>
                <w:kern w:val="0"/>
                <w:sz w:val="20"/>
              </w:rPr>
              <w:t>2</w:t>
            </w:r>
            <w:r>
              <w:rPr>
                <w:color w:val="000000"/>
                <w:kern w:val="0"/>
                <w:sz w:val="20"/>
              </w:rPr>
              <w:t>2%</w:t>
            </w:r>
          </w:p>
        </w:tc>
        <w:tc>
          <w:tcPr>
            <w:tcW w:w="515" w:type="pct"/>
            <w:tcBorders>
              <w:top w:val="single" w:color="4F81BD" w:sz="8" w:space="0"/>
              <w:left w:val="single" w:color="4F81BD" w:sz="8" w:space="0"/>
              <w:bottom w:val="single" w:color="4F81BD" w:sz="8" w:space="0"/>
              <w:right w:val="single" w:color="4F81BD" w:sz="8" w:space="0"/>
            </w:tcBorders>
            <w:shd w:val="clear" w:color="auto" w:fill="FFFFFF"/>
            <w:vAlign w:val="center"/>
          </w:tcPr>
          <w:p>
            <w:pPr>
              <w:spacing w:before="120" w:after="120"/>
              <w:jc w:val="center"/>
              <w:textAlignment w:val="center"/>
              <w:rPr>
                <w:color w:val="000000"/>
              </w:rPr>
            </w:pPr>
            <w:r>
              <w:rPr>
                <w:color w:val="000000"/>
                <w:kern w:val="0"/>
                <w:sz w:val="20"/>
              </w:rPr>
              <w:t>-</w:t>
            </w:r>
            <w:r>
              <w:rPr>
                <w:rFonts w:hint="eastAsia"/>
                <w:color w:val="000000"/>
                <w:kern w:val="0"/>
                <w:sz w:val="20"/>
              </w:rPr>
              <w:t>2</w:t>
            </w:r>
            <w:r>
              <w:rPr>
                <w:color w:val="000000"/>
                <w:kern w:val="0"/>
                <w:sz w:val="20"/>
              </w:rPr>
              <w:t>.</w:t>
            </w:r>
            <w:r>
              <w:rPr>
                <w:rFonts w:hint="eastAsia"/>
                <w:color w:val="000000"/>
                <w:kern w:val="0"/>
                <w:sz w:val="20"/>
              </w:rPr>
              <w:t>23</w:t>
            </w:r>
            <w:r>
              <w:rPr>
                <w:color w:val="000000"/>
                <w:kern w:val="0"/>
                <w:sz w:val="20"/>
              </w:rPr>
              <w:t>%</w:t>
            </w:r>
          </w:p>
        </w:tc>
        <w:tc>
          <w:tcPr>
            <w:tcW w:w="515" w:type="pct"/>
            <w:tcBorders>
              <w:top w:val="single" w:color="4F81BD" w:sz="8" w:space="0"/>
              <w:left w:val="single" w:color="4F81BD" w:sz="8" w:space="0"/>
              <w:bottom w:val="single" w:color="4F81BD" w:sz="8" w:space="0"/>
              <w:right w:val="single" w:color="4F81BD" w:sz="8" w:space="0"/>
            </w:tcBorders>
            <w:shd w:val="clear" w:color="auto" w:fill="FFFFFF"/>
            <w:vAlign w:val="center"/>
          </w:tcPr>
          <w:p>
            <w:pPr>
              <w:spacing w:before="120" w:after="120"/>
              <w:jc w:val="center"/>
              <w:textAlignment w:val="center"/>
              <w:rPr>
                <w:color w:val="000000"/>
              </w:rPr>
            </w:pPr>
            <w:r>
              <w:rPr>
                <w:color w:val="000000"/>
                <w:kern w:val="0"/>
                <w:sz w:val="20"/>
              </w:rPr>
              <w:t>-0.</w:t>
            </w:r>
            <w:r>
              <w:rPr>
                <w:rFonts w:hint="eastAsia"/>
                <w:color w:val="000000"/>
                <w:kern w:val="0"/>
                <w:sz w:val="20"/>
              </w:rPr>
              <w:t>30</w:t>
            </w:r>
            <w:r>
              <w:rPr>
                <w:color w:val="000000"/>
                <w:kern w:val="0"/>
                <w:sz w:val="20"/>
              </w:rPr>
              <w:t>%</w:t>
            </w:r>
          </w:p>
        </w:tc>
        <w:tc>
          <w:tcPr>
            <w:tcW w:w="524" w:type="pct"/>
            <w:tcBorders>
              <w:top w:val="single" w:color="4F81BD" w:sz="8" w:space="0"/>
              <w:left w:val="single" w:color="4F81BD" w:sz="8" w:space="0"/>
              <w:bottom w:val="single" w:color="4F81BD" w:sz="8" w:space="0"/>
              <w:right w:val="single" w:color="4F81BD" w:sz="8" w:space="0"/>
            </w:tcBorders>
            <w:shd w:val="clear" w:color="auto" w:fill="FFFFFF"/>
            <w:vAlign w:val="center"/>
          </w:tcPr>
          <w:p>
            <w:pPr>
              <w:spacing w:before="120" w:after="120"/>
              <w:jc w:val="center"/>
              <w:textAlignment w:val="center"/>
              <w:rPr>
                <w:rFonts w:ascii="宋体" w:hAnsi="宋体"/>
                <w:color w:val="000000"/>
                <w:sz w:val="24"/>
                <w:szCs w:val="24"/>
              </w:rPr>
            </w:pPr>
            <w:r>
              <w:rPr>
                <w:color w:val="000000"/>
                <w:kern w:val="0"/>
                <w:sz w:val="20"/>
              </w:rPr>
              <w:t>-0.</w:t>
            </w:r>
            <w:r>
              <w:rPr>
                <w:rFonts w:hint="eastAsia"/>
                <w:color w:val="000000"/>
                <w:kern w:val="0"/>
                <w:sz w:val="20"/>
              </w:rPr>
              <w:t>75</w:t>
            </w:r>
            <w:r>
              <w:rPr>
                <w:color w:val="000000"/>
                <w:kern w:val="0"/>
                <w:sz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4" w:type="pct"/>
            <w:tcBorders>
              <w:top w:val="single" w:color="4F81BD" w:sz="8" w:space="0"/>
              <w:left w:val="single" w:color="4F81BD" w:sz="8" w:space="0"/>
              <w:bottom w:val="single" w:color="4F81BD" w:sz="8" w:space="0"/>
              <w:right w:val="single" w:color="4F81BD" w:sz="8" w:space="0"/>
            </w:tcBorders>
            <w:shd w:val="clear" w:color="auto" w:fill="DBE5F1"/>
            <w:vAlign w:val="center"/>
          </w:tcPr>
          <w:p>
            <w:pPr>
              <w:spacing w:before="120" w:after="120"/>
              <w:jc w:val="center"/>
              <w:rPr>
                <w:color w:val="000000"/>
                <w:szCs w:val="21"/>
              </w:rPr>
            </w:pPr>
            <w:r>
              <w:rPr>
                <w:rFonts w:hint="eastAsia"/>
                <w:color w:val="000000"/>
              </w:rPr>
              <w:t>Rank = 4</w:t>
            </w:r>
          </w:p>
        </w:tc>
        <w:tc>
          <w:tcPr>
            <w:tcW w:w="458" w:type="pct"/>
            <w:tcBorders>
              <w:top w:val="single" w:color="4F81BD" w:sz="8" w:space="0"/>
              <w:left w:val="single" w:color="4F81BD" w:sz="8" w:space="0"/>
              <w:bottom w:val="single" w:color="4F81BD" w:sz="8" w:space="0"/>
              <w:right w:val="single" w:color="4F81BD" w:sz="8" w:space="0"/>
            </w:tcBorders>
            <w:shd w:val="clear" w:color="auto" w:fill="DBE5F1"/>
            <w:vAlign w:val="center"/>
          </w:tcPr>
          <w:p>
            <w:pPr>
              <w:spacing w:before="120" w:after="120"/>
              <w:jc w:val="center"/>
              <w:textAlignment w:val="center"/>
              <w:rPr>
                <w:color w:val="000000"/>
              </w:rPr>
            </w:pPr>
            <w:r>
              <w:rPr>
                <w:color w:val="000000"/>
                <w:kern w:val="0"/>
                <w:sz w:val="20"/>
              </w:rPr>
              <w:t>-0.94%</w:t>
            </w:r>
          </w:p>
        </w:tc>
        <w:tc>
          <w:tcPr>
            <w:tcW w:w="496" w:type="pct"/>
            <w:tcBorders>
              <w:top w:val="single" w:color="4F81BD" w:sz="8" w:space="0"/>
              <w:left w:val="single" w:color="4F81BD" w:sz="8" w:space="0"/>
              <w:bottom w:val="single" w:color="4F81BD" w:sz="8" w:space="0"/>
              <w:right w:val="single" w:color="4F81BD" w:sz="8" w:space="0"/>
            </w:tcBorders>
            <w:shd w:val="clear" w:color="auto" w:fill="DBE5F1"/>
            <w:vAlign w:val="center"/>
          </w:tcPr>
          <w:p>
            <w:pPr>
              <w:spacing w:before="120" w:after="120"/>
              <w:jc w:val="center"/>
              <w:textAlignment w:val="center"/>
              <w:rPr>
                <w:color w:val="000000"/>
              </w:rPr>
            </w:pPr>
            <w:r>
              <w:rPr>
                <w:color w:val="000000"/>
                <w:kern w:val="0"/>
                <w:sz w:val="20"/>
              </w:rPr>
              <w:t>-2.64%</w:t>
            </w:r>
          </w:p>
        </w:tc>
        <w:tc>
          <w:tcPr>
            <w:tcW w:w="496" w:type="pct"/>
            <w:tcBorders>
              <w:top w:val="single" w:color="4F81BD" w:sz="8" w:space="0"/>
              <w:left w:val="single" w:color="4F81BD" w:sz="8" w:space="0"/>
              <w:bottom w:val="single" w:color="4F81BD" w:sz="8" w:space="0"/>
              <w:right w:val="single" w:color="4F81BD" w:sz="8" w:space="0"/>
            </w:tcBorders>
            <w:shd w:val="clear" w:color="auto" w:fill="DBE5F1"/>
            <w:vAlign w:val="center"/>
          </w:tcPr>
          <w:p>
            <w:pPr>
              <w:spacing w:before="120" w:after="120"/>
              <w:jc w:val="center"/>
              <w:textAlignment w:val="center"/>
              <w:rPr>
                <w:color w:val="000000"/>
              </w:rPr>
            </w:pPr>
            <w:r>
              <w:rPr>
                <w:color w:val="000000"/>
                <w:kern w:val="0"/>
                <w:sz w:val="20"/>
              </w:rPr>
              <w:t>-2.08%</w:t>
            </w:r>
          </w:p>
        </w:tc>
        <w:tc>
          <w:tcPr>
            <w:tcW w:w="515" w:type="pct"/>
            <w:tcBorders>
              <w:top w:val="single" w:color="4F81BD" w:sz="8" w:space="0"/>
              <w:left w:val="single" w:color="4F81BD" w:sz="8" w:space="0"/>
              <w:bottom w:val="single" w:color="4F81BD" w:sz="8" w:space="0"/>
              <w:right w:val="single" w:color="4F81BD" w:sz="8" w:space="0"/>
            </w:tcBorders>
            <w:shd w:val="clear" w:color="auto" w:fill="DBE5F1"/>
            <w:vAlign w:val="center"/>
          </w:tcPr>
          <w:p>
            <w:pPr>
              <w:spacing w:before="120" w:after="120"/>
              <w:jc w:val="center"/>
              <w:textAlignment w:val="center"/>
              <w:rPr>
                <w:color w:val="000000"/>
              </w:rPr>
            </w:pPr>
            <w:r>
              <w:rPr>
                <w:color w:val="000000"/>
                <w:kern w:val="0"/>
                <w:sz w:val="20"/>
              </w:rPr>
              <w:t>-4.03%</w:t>
            </w:r>
          </w:p>
        </w:tc>
        <w:tc>
          <w:tcPr>
            <w:tcW w:w="515" w:type="pct"/>
            <w:tcBorders>
              <w:top w:val="single" w:color="4F81BD" w:sz="8" w:space="0"/>
              <w:left w:val="single" w:color="4F81BD" w:sz="8" w:space="0"/>
              <w:bottom w:val="single" w:color="4F81BD" w:sz="8" w:space="0"/>
              <w:right w:val="single" w:color="4F81BD" w:sz="8" w:space="0"/>
            </w:tcBorders>
            <w:shd w:val="clear" w:color="auto" w:fill="DBE5F1"/>
            <w:vAlign w:val="center"/>
          </w:tcPr>
          <w:p>
            <w:pPr>
              <w:spacing w:before="120" w:after="120"/>
              <w:jc w:val="center"/>
              <w:textAlignment w:val="center"/>
              <w:rPr>
                <w:color w:val="000000"/>
              </w:rPr>
            </w:pPr>
            <w:r>
              <w:rPr>
                <w:color w:val="000000"/>
                <w:kern w:val="0"/>
                <w:sz w:val="20"/>
              </w:rPr>
              <w:t>-3.32%</w:t>
            </w:r>
          </w:p>
        </w:tc>
        <w:tc>
          <w:tcPr>
            <w:tcW w:w="515" w:type="pct"/>
            <w:tcBorders>
              <w:top w:val="single" w:color="4F81BD" w:sz="8" w:space="0"/>
              <w:left w:val="single" w:color="4F81BD" w:sz="8" w:space="0"/>
              <w:bottom w:val="single" w:color="4F81BD" w:sz="8" w:space="0"/>
              <w:right w:val="single" w:color="4F81BD" w:sz="8" w:space="0"/>
            </w:tcBorders>
            <w:shd w:val="clear" w:color="auto" w:fill="DBE5F1"/>
            <w:vAlign w:val="center"/>
          </w:tcPr>
          <w:p>
            <w:pPr>
              <w:spacing w:before="120" w:after="120"/>
              <w:jc w:val="center"/>
              <w:textAlignment w:val="center"/>
              <w:rPr>
                <w:color w:val="000000"/>
              </w:rPr>
            </w:pPr>
            <w:r>
              <w:rPr>
                <w:color w:val="000000"/>
                <w:kern w:val="0"/>
                <w:sz w:val="20"/>
              </w:rPr>
              <w:t>-2.33%</w:t>
            </w:r>
          </w:p>
        </w:tc>
        <w:tc>
          <w:tcPr>
            <w:tcW w:w="515" w:type="pct"/>
            <w:tcBorders>
              <w:top w:val="single" w:color="4F81BD" w:sz="8" w:space="0"/>
              <w:left w:val="single" w:color="4F81BD" w:sz="8" w:space="0"/>
              <w:bottom w:val="single" w:color="4F81BD" w:sz="8" w:space="0"/>
              <w:right w:val="single" w:color="4F81BD" w:sz="8" w:space="0"/>
            </w:tcBorders>
            <w:shd w:val="clear" w:color="auto" w:fill="DBE5F1"/>
            <w:vAlign w:val="center"/>
          </w:tcPr>
          <w:p>
            <w:pPr>
              <w:spacing w:before="120" w:after="120"/>
              <w:jc w:val="center"/>
              <w:textAlignment w:val="center"/>
              <w:rPr>
                <w:color w:val="000000"/>
              </w:rPr>
            </w:pPr>
            <w:r>
              <w:rPr>
                <w:color w:val="000000"/>
                <w:kern w:val="0"/>
                <w:sz w:val="20"/>
              </w:rPr>
              <w:t>-3.05%</w:t>
            </w:r>
          </w:p>
        </w:tc>
        <w:tc>
          <w:tcPr>
            <w:tcW w:w="524" w:type="pct"/>
            <w:tcBorders>
              <w:top w:val="single" w:color="4F81BD" w:sz="8" w:space="0"/>
              <w:left w:val="single" w:color="4F81BD" w:sz="8" w:space="0"/>
              <w:bottom w:val="single" w:color="4F81BD" w:sz="8" w:space="0"/>
              <w:right w:val="single" w:color="4F81BD" w:sz="8" w:space="0"/>
            </w:tcBorders>
            <w:shd w:val="clear" w:color="auto" w:fill="DBE5F1"/>
            <w:vAlign w:val="center"/>
          </w:tcPr>
          <w:p>
            <w:pPr>
              <w:spacing w:before="120" w:after="120"/>
              <w:jc w:val="center"/>
              <w:textAlignment w:val="center"/>
              <w:rPr>
                <w:rFonts w:ascii="宋体" w:hAnsi="宋体"/>
                <w:color w:val="000000"/>
                <w:sz w:val="24"/>
                <w:szCs w:val="24"/>
              </w:rPr>
            </w:pPr>
            <w:r>
              <w:rPr>
                <w:color w:val="000000"/>
                <w:kern w:val="0"/>
                <w:sz w:val="20"/>
              </w:rPr>
              <w:t>-2.63%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9"/>
            <w:tcBorders>
              <w:top w:val="single" w:color="auto" w:sz="4" w:space="0"/>
              <w:left w:val="single" w:color="auto" w:sz="4" w:space="0"/>
              <w:bottom w:val="single" w:color="auto" w:sz="4" w:space="0"/>
              <w:right w:val="single" w:color="auto" w:sz="4" w:space="0"/>
            </w:tcBorders>
            <w:vAlign w:val="center"/>
          </w:tcPr>
          <w:p>
            <w:pPr>
              <w:spacing w:before="120" w:after="120"/>
              <w:jc w:val="center"/>
              <w:textAlignment w:val="center"/>
              <w:rPr>
                <w:szCs w:val="21"/>
              </w:rPr>
            </w:pPr>
            <w:r>
              <w:rPr>
                <w:rFonts w:hint="eastAsia"/>
                <w:position w:val="-6"/>
              </w:rPr>
              <w:t>Configuration: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4" w:type="pct"/>
            <w:tcBorders>
              <w:top w:val="single" w:color="4F81BD" w:sz="8" w:space="0"/>
              <w:left w:val="single" w:color="4F81BD" w:sz="8" w:space="0"/>
              <w:bottom w:val="single" w:color="4F81BD" w:sz="12" w:space="0"/>
              <w:right w:val="single" w:color="4F81BD" w:sz="8" w:space="0"/>
            </w:tcBorders>
            <w:shd w:val="clear" w:color="auto" w:fill="FFFFFF"/>
            <w:vAlign w:val="center"/>
          </w:tcPr>
          <w:p>
            <w:pPr>
              <w:spacing w:before="120" w:after="120"/>
              <w:jc w:val="center"/>
              <w:rPr>
                <w:color w:val="000000"/>
              </w:rPr>
            </w:pPr>
            <w:r>
              <w:rPr>
                <w:rFonts w:hint="eastAsia"/>
                <w:color w:val="000000"/>
              </w:rPr>
              <w:t>Rank = 1</w:t>
            </w:r>
          </w:p>
        </w:tc>
        <w:tc>
          <w:tcPr>
            <w:tcW w:w="904" w:type="dxa"/>
            <w:tcBorders>
              <w:top w:val="single" w:color="4F81BD" w:sz="8" w:space="0"/>
              <w:left w:val="single" w:color="4F81BD" w:sz="8" w:space="0"/>
              <w:bottom w:val="single" w:color="4F81BD" w:sz="12" w:space="0"/>
              <w:right w:val="single" w:color="4F81BD" w:sz="8" w:space="0"/>
            </w:tcBorders>
            <w:shd w:val="clear" w:color="auto" w:fill="FFFFFF"/>
            <w:vAlign w:val="center"/>
          </w:tcPr>
          <w:p>
            <w:pPr>
              <w:spacing w:before="120" w:after="120"/>
              <w:jc w:val="center"/>
              <w:textAlignment w:val="center"/>
              <w:rPr>
                <w:color w:val="000000"/>
                <w:kern w:val="0"/>
                <w:sz w:val="20"/>
              </w:rPr>
            </w:pPr>
            <w:r>
              <w:rPr>
                <w:color w:val="000000"/>
                <w:kern w:val="0"/>
                <w:sz w:val="20"/>
              </w:rPr>
              <w:t>0.</w:t>
            </w:r>
            <w:r>
              <w:rPr>
                <w:rFonts w:hint="eastAsia"/>
                <w:color w:val="000000"/>
                <w:kern w:val="0"/>
                <w:sz w:val="20"/>
              </w:rPr>
              <w:t>26</w:t>
            </w:r>
            <w:r>
              <w:rPr>
                <w:color w:val="000000"/>
                <w:kern w:val="0"/>
                <w:sz w:val="20"/>
              </w:rPr>
              <w:t>%</w:t>
            </w:r>
          </w:p>
        </w:tc>
        <w:tc>
          <w:tcPr>
            <w:tcW w:w="980" w:type="dxa"/>
            <w:tcBorders>
              <w:top w:val="single" w:color="4F81BD" w:sz="8" w:space="0"/>
              <w:left w:val="single" w:color="4F81BD" w:sz="8" w:space="0"/>
              <w:bottom w:val="single" w:color="4F81BD" w:sz="12" w:space="0"/>
              <w:right w:val="single" w:color="4F81BD" w:sz="8" w:space="0"/>
            </w:tcBorders>
            <w:shd w:val="clear" w:color="auto" w:fill="FFFFFF"/>
            <w:vAlign w:val="center"/>
          </w:tcPr>
          <w:p>
            <w:pPr>
              <w:spacing w:before="120" w:after="120"/>
              <w:jc w:val="center"/>
              <w:textAlignment w:val="center"/>
              <w:rPr>
                <w:color w:val="000000"/>
                <w:kern w:val="0"/>
                <w:sz w:val="20"/>
              </w:rPr>
            </w:pPr>
            <w:r>
              <w:rPr>
                <w:color w:val="000000"/>
                <w:kern w:val="0"/>
                <w:sz w:val="20"/>
              </w:rPr>
              <w:t>0.</w:t>
            </w:r>
            <w:r>
              <w:rPr>
                <w:rFonts w:hint="eastAsia"/>
                <w:color w:val="000000"/>
                <w:kern w:val="0"/>
                <w:sz w:val="20"/>
              </w:rPr>
              <w:t>50</w:t>
            </w:r>
            <w:r>
              <w:rPr>
                <w:color w:val="000000"/>
                <w:kern w:val="0"/>
                <w:sz w:val="20"/>
              </w:rPr>
              <w:t>%</w:t>
            </w:r>
          </w:p>
        </w:tc>
        <w:tc>
          <w:tcPr>
            <w:tcW w:w="980" w:type="dxa"/>
            <w:tcBorders>
              <w:top w:val="single" w:color="4F81BD" w:sz="8" w:space="0"/>
              <w:left w:val="single" w:color="4F81BD" w:sz="8" w:space="0"/>
              <w:bottom w:val="single" w:color="4F81BD" w:sz="12" w:space="0"/>
              <w:right w:val="single" w:color="4F81BD" w:sz="8" w:space="0"/>
            </w:tcBorders>
            <w:shd w:val="clear" w:color="auto" w:fill="FFFFFF"/>
            <w:vAlign w:val="center"/>
          </w:tcPr>
          <w:p>
            <w:pPr>
              <w:spacing w:before="120" w:after="120"/>
              <w:jc w:val="center"/>
              <w:textAlignment w:val="center"/>
              <w:rPr>
                <w:color w:val="000000"/>
                <w:kern w:val="0"/>
                <w:sz w:val="20"/>
              </w:rPr>
            </w:pPr>
            <w:r>
              <w:rPr>
                <w:color w:val="000000"/>
                <w:kern w:val="0"/>
                <w:sz w:val="20"/>
              </w:rPr>
              <w:t>-0.</w:t>
            </w:r>
            <w:r>
              <w:rPr>
                <w:rFonts w:hint="eastAsia"/>
                <w:color w:val="000000"/>
                <w:kern w:val="0"/>
                <w:sz w:val="20"/>
              </w:rPr>
              <w:t>85</w:t>
            </w:r>
            <w:r>
              <w:rPr>
                <w:color w:val="000000"/>
                <w:kern w:val="0"/>
                <w:sz w:val="20"/>
              </w:rPr>
              <w:t>%</w:t>
            </w:r>
          </w:p>
        </w:tc>
        <w:tc>
          <w:tcPr>
            <w:tcW w:w="1016" w:type="dxa"/>
            <w:tcBorders>
              <w:top w:val="single" w:color="4F81BD" w:sz="8" w:space="0"/>
              <w:left w:val="single" w:color="4F81BD" w:sz="8" w:space="0"/>
              <w:bottom w:val="single" w:color="4F81BD" w:sz="12" w:space="0"/>
              <w:right w:val="single" w:color="4F81BD" w:sz="8" w:space="0"/>
            </w:tcBorders>
            <w:shd w:val="clear" w:color="auto" w:fill="FFFFFF"/>
            <w:vAlign w:val="center"/>
          </w:tcPr>
          <w:p>
            <w:pPr>
              <w:spacing w:before="120" w:after="120"/>
              <w:jc w:val="center"/>
              <w:textAlignment w:val="center"/>
              <w:rPr>
                <w:color w:val="000000"/>
                <w:kern w:val="0"/>
                <w:sz w:val="20"/>
              </w:rPr>
            </w:pPr>
            <w:r>
              <w:rPr>
                <w:color w:val="000000"/>
                <w:kern w:val="0"/>
                <w:sz w:val="20"/>
              </w:rPr>
              <w:t>-0.</w:t>
            </w:r>
            <w:r>
              <w:rPr>
                <w:rFonts w:hint="eastAsia"/>
                <w:color w:val="000000"/>
                <w:kern w:val="0"/>
                <w:sz w:val="20"/>
              </w:rPr>
              <w:t>69</w:t>
            </w:r>
            <w:r>
              <w:rPr>
                <w:color w:val="000000"/>
                <w:kern w:val="0"/>
                <w:sz w:val="20"/>
              </w:rPr>
              <w:t>%</w:t>
            </w:r>
          </w:p>
        </w:tc>
        <w:tc>
          <w:tcPr>
            <w:tcW w:w="1016" w:type="dxa"/>
            <w:tcBorders>
              <w:top w:val="single" w:color="4F81BD" w:sz="8" w:space="0"/>
              <w:left w:val="single" w:color="4F81BD" w:sz="8" w:space="0"/>
              <w:bottom w:val="single" w:color="4F81BD" w:sz="12" w:space="0"/>
              <w:right w:val="single" w:color="4F81BD" w:sz="8" w:space="0"/>
            </w:tcBorders>
            <w:shd w:val="clear" w:color="auto" w:fill="FFFFFF"/>
            <w:vAlign w:val="center"/>
          </w:tcPr>
          <w:p>
            <w:pPr>
              <w:spacing w:before="120" w:after="120"/>
              <w:jc w:val="center"/>
              <w:textAlignment w:val="center"/>
              <w:rPr>
                <w:color w:val="000000"/>
                <w:kern w:val="0"/>
                <w:sz w:val="20"/>
              </w:rPr>
            </w:pPr>
            <w:r>
              <w:rPr>
                <w:color w:val="000000"/>
                <w:kern w:val="0"/>
                <w:sz w:val="20"/>
              </w:rPr>
              <w:t>-0.</w:t>
            </w:r>
            <w:r>
              <w:rPr>
                <w:rFonts w:hint="eastAsia"/>
                <w:color w:val="000000"/>
                <w:kern w:val="0"/>
                <w:sz w:val="20"/>
              </w:rPr>
              <w:t>70</w:t>
            </w:r>
            <w:r>
              <w:rPr>
                <w:color w:val="000000"/>
                <w:kern w:val="0"/>
                <w:sz w:val="20"/>
              </w:rPr>
              <w:t>%</w:t>
            </w:r>
          </w:p>
        </w:tc>
        <w:tc>
          <w:tcPr>
            <w:tcW w:w="1016" w:type="dxa"/>
            <w:tcBorders>
              <w:top w:val="single" w:color="4F81BD" w:sz="8" w:space="0"/>
              <w:left w:val="single" w:color="4F81BD" w:sz="8" w:space="0"/>
              <w:bottom w:val="single" w:color="4F81BD" w:sz="12" w:space="0"/>
              <w:right w:val="single" w:color="4F81BD" w:sz="8" w:space="0"/>
            </w:tcBorders>
            <w:shd w:val="clear" w:color="auto" w:fill="FFFFFF"/>
            <w:vAlign w:val="center"/>
          </w:tcPr>
          <w:p>
            <w:pPr>
              <w:spacing w:before="120" w:after="120"/>
              <w:jc w:val="center"/>
              <w:textAlignment w:val="center"/>
              <w:rPr>
                <w:color w:val="000000"/>
                <w:kern w:val="0"/>
                <w:sz w:val="20"/>
              </w:rPr>
            </w:pPr>
            <w:r>
              <w:rPr>
                <w:color w:val="000000"/>
                <w:kern w:val="0"/>
                <w:sz w:val="20"/>
              </w:rPr>
              <w:t>-0.05%</w:t>
            </w:r>
          </w:p>
        </w:tc>
        <w:tc>
          <w:tcPr>
            <w:tcW w:w="1016" w:type="dxa"/>
            <w:tcBorders>
              <w:top w:val="single" w:color="4F81BD" w:sz="8" w:space="0"/>
              <w:left w:val="single" w:color="4F81BD" w:sz="8" w:space="0"/>
              <w:bottom w:val="single" w:color="4F81BD" w:sz="12" w:space="0"/>
              <w:right w:val="single" w:color="4F81BD" w:sz="8" w:space="0"/>
            </w:tcBorders>
            <w:shd w:val="clear" w:color="auto" w:fill="FFFFFF"/>
            <w:vAlign w:val="center"/>
          </w:tcPr>
          <w:p>
            <w:pPr>
              <w:spacing w:before="120" w:after="120"/>
              <w:jc w:val="center"/>
              <w:textAlignment w:val="center"/>
              <w:rPr>
                <w:color w:val="000000"/>
                <w:kern w:val="0"/>
                <w:sz w:val="20"/>
              </w:rPr>
            </w:pPr>
            <w:r>
              <w:rPr>
                <w:color w:val="000000"/>
                <w:kern w:val="0"/>
                <w:sz w:val="20"/>
              </w:rPr>
              <w:t>0.00%</w:t>
            </w:r>
          </w:p>
        </w:tc>
        <w:tc>
          <w:tcPr>
            <w:tcW w:w="1034" w:type="dxa"/>
            <w:tcBorders>
              <w:top w:val="single" w:color="4F81BD" w:sz="8" w:space="0"/>
              <w:left w:val="single" w:color="4F81BD" w:sz="8" w:space="0"/>
              <w:bottom w:val="single" w:color="4F81BD" w:sz="12" w:space="0"/>
              <w:right w:val="single" w:color="4F81BD" w:sz="8" w:space="0"/>
            </w:tcBorders>
            <w:shd w:val="clear" w:color="auto" w:fill="FFFFFF"/>
            <w:vAlign w:val="center"/>
          </w:tcPr>
          <w:p>
            <w:pPr>
              <w:spacing w:before="120" w:after="120"/>
              <w:jc w:val="center"/>
              <w:textAlignment w:val="center"/>
              <w:rPr>
                <w:color w:val="000000"/>
                <w:kern w:val="0"/>
                <w:sz w:val="20"/>
              </w:rPr>
            </w:pPr>
            <w:r>
              <w:rPr>
                <w:color w:val="000000"/>
                <w:kern w:val="0"/>
                <w:sz w:val="20"/>
              </w:rPr>
              <w:t>-0.</w:t>
            </w:r>
            <w:r>
              <w:rPr>
                <w:rFonts w:hint="eastAsia"/>
                <w:color w:val="000000"/>
                <w:kern w:val="0"/>
                <w:sz w:val="20"/>
              </w:rPr>
              <w:t>22</w:t>
            </w:r>
            <w:r>
              <w:rPr>
                <w:color w:val="000000"/>
                <w:kern w:val="0"/>
                <w:sz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4" w:type="pct"/>
            <w:tcBorders>
              <w:top w:val="single" w:color="4F81BD" w:sz="12" w:space="0"/>
              <w:left w:val="single" w:color="4F81BD" w:sz="8" w:space="0"/>
              <w:bottom w:val="single" w:color="4F81BD" w:sz="8" w:space="0"/>
              <w:right w:val="single" w:color="4F81BD" w:sz="8" w:space="0"/>
            </w:tcBorders>
            <w:shd w:val="clear" w:color="auto" w:fill="DBE5F1"/>
            <w:vAlign w:val="center"/>
          </w:tcPr>
          <w:p>
            <w:pPr>
              <w:spacing w:before="120" w:after="120"/>
              <w:jc w:val="center"/>
              <w:rPr>
                <w:color w:val="000000"/>
                <w:szCs w:val="21"/>
              </w:rPr>
            </w:pPr>
            <w:r>
              <w:rPr>
                <w:rFonts w:hint="eastAsia"/>
                <w:color w:val="000000"/>
              </w:rPr>
              <w:t>Rank = 2</w:t>
            </w:r>
          </w:p>
        </w:tc>
        <w:tc>
          <w:tcPr>
            <w:tcW w:w="904" w:type="dxa"/>
            <w:tcBorders>
              <w:top w:val="single" w:color="4F81BD" w:sz="12" w:space="0"/>
              <w:left w:val="single" w:color="4F81BD" w:sz="8" w:space="0"/>
              <w:bottom w:val="single" w:color="4F81BD" w:sz="8" w:space="0"/>
              <w:right w:val="single" w:color="4F81BD" w:sz="8" w:space="0"/>
            </w:tcBorders>
            <w:shd w:val="clear" w:color="auto" w:fill="DBE5F1"/>
            <w:vAlign w:val="center"/>
          </w:tcPr>
          <w:p>
            <w:pPr>
              <w:spacing w:before="120" w:after="120"/>
              <w:jc w:val="center"/>
              <w:textAlignment w:val="center"/>
              <w:rPr>
                <w:color w:val="000000"/>
                <w:kern w:val="0"/>
                <w:sz w:val="20"/>
              </w:rPr>
            </w:pPr>
            <w:r>
              <w:rPr>
                <w:color w:val="000000"/>
                <w:kern w:val="0"/>
                <w:sz w:val="20"/>
              </w:rPr>
              <w:t>-0.70%</w:t>
            </w:r>
          </w:p>
        </w:tc>
        <w:tc>
          <w:tcPr>
            <w:tcW w:w="980" w:type="dxa"/>
            <w:tcBorders>
              <w:top w:val="single" w:color="4F81BD" w:sz="12" w:space="0"/>
              <w:left w:val="single" w:color="4F81BD" w:sz="8" w:space="0"/>
              <w:bottom w:val="single" w:color="4F81BD" w:sz="8" w:space="0"/>
              <w:right w:val="single" w:color="4F81BD" w:sz="8" w:space="0"/>
            </w:tcBorders>
            <w:shd w:val="clear" w:color="auto" w:fill="DBE5F1"/>
            <w:vAlign w:val="center"/>
          </w:tcPr>
          <w:p>
            <w:pPr>
              <w:spacing w:before="120" w:after="120"/>
              <w:jc w:val="center"/>
              <w:textAlignment w:val="center"/>
              <w:rPr>
                <w:color w:val="000000"/>
                <w:kern w:val="0"/>
                <w:sz w:val="20"/>
              </w:rPr>
            </w:pPr>
            <w:r>
              <w:rPr>
                <w:color w:val="000000"/>
                <w:kern w:val="0"/>
                <w:sz w:val="20"/>
              </w:rPr>
              <w:t>0.15%</w:t>
            </w:r>
          </w:p>
        </w:tc>
        <w:tc>
          <w:tcPr>
            <w:tcW w:w="980" w:type="dxa"/>
            <w:tcBorders>
              <w:top w:val="single" w:color="4F81BD" w:sz="12" w:space="0"/>
              <w:left w:val="single" w:color="4F81BD" w:sz="8" w:space="0"/>
              <w:bottom w:val="single" w:color="4F81BD" w:sz="8" w:space="0"/>
              <w:right w:val="single" w:color="4F81BD" w:sz="8" w:space="0"/>
            </w:tcBorders>
            <w:shd w:val="clear" w:color="auto" w:fill="DBE5F1"/>
            <w:vAlign w:val="center"/>
          </w:tcPr>
          <w:p>
            <w:pPr>
              <w:spacing w:before="120" w:after="120"/>
              <w:jc w:val="center"/>
              <w:textAlignment w:val="center"/>
              <w:rPr>
                <w:color w:val="000000"/>
                <w:kern w:val="0"/>
                <w:sz w:val="20"/>
              </w:rPr>
            </w:pPr>
            <w:r>
              <w:rPr>
                <w:color w:val="000000"/>
                <w:kern w:val="0"/>
                <w:sz w:val="20"/>
              </w:rPr>
              <w:t>-2.20%</w:t>
            </w:r>
          </w:p>
        </w:tc>
        <w:tc>
          <w:tcPr>
            <w:tcW w:w="1016" w:type="dxa"/>
            <w:tcBorders>
              <w:top w:val="single" w:color="4F81BD" w:sz="12" w:space="0"/>
              <w:left w:val="single" w:color="4F81BD" w:sz="8" w:space="0"/>
              <w:bottom w:val="single" w:color="4F81BD" w:sz="8" w:space="0"/>
              <w:right w:val="single" w:color="4F81BD" w:sz="8" w:space="0"/>
            </w:tcBorders>
            <w:shd w:val="clear" w:color="auto" w:fill="DBE5F1"/>
            <w:vAlign w:val="center"/>
          </w:tcPr>
          <w:p>
            <w:pPr>
              <w:spacing w:before="120" w:after="120"/>
              <w:jc w:val="center"/>
              <w:textAlignment w:val="center"/>
              <w:rPr>
                <w:color w:val="000000"/>
                <w:kern w:val="0"/>
                <w:sz w:val="20"/>
              </w:rPr>
            </w:pPr>
            <w:r>
              <w:rPr>
                <w:color w:val="000000"/>
                <w:kern w:val="0"/>
                <w:sz w:val="20"/>
              </w:rPr>
              <w:t>-0.23%</w:t>
            </w:r>
          </w:p>
        </w:tc>
        <w:tc>
          <w:tcPr>
            <w:tcW w:w="1016" w:type="dxa"/>
            <w:tcBorders>
              <w:top w:val="single" w:color="4F81BD" w:sz="12" w:space="0"/>
              <w:left w:val="single" w:color="4F81BD" w:sz="8" w:space="0"/>
              <w:bottom w:val="single" w:color="4F81BD" w:sz="8" w:space="0"/>
              <w:right w:val="single" w:color="4F81BD" w:sz="8" w:space="0"/>
            </w:tcBorders>
            <w:shd w:val="clear" w:color="auto" w:fill="DBE5F1"/>
            <w:vAlign w:val="center"/>
          </w:tcPr>
          <w:p>
            <w:pPr>
              <w:spacing w:before="120" w:after="120"/>
              <w:jc w:val="center"/>
              <w:textAlignment w:val="center"/>
              <w:rPr>
                <w:color w:val="000000"/>
                <w:kern w:val="0"/>
                <w:sz w:val="20"/>
              </w:rPr>
            </w:pPr>
            <w:r>
              <w:rPr>
                <w:color w:val="000000"/>
                <w:kern w:val="0"/>
                <w:sz w:val="20"/>
              </w:rPr>
              <w:t>-2.69%</w:t>
            </w:r>
          </w:p>
        </w:tc>
        <w:tc>
          <w:tcPr>
            <w:tcW w:w="1016" w:type="dxa"/>
            <w:tcBorders>
              <w:top w:val="single" w:color="4F81BD" w:sz="12" w:space="0"/>
              <w:left w:val="single" w:color="4F81BD" w:sz="8" w:space="0"/>
              <w:bottom w:val="single" w:color="4F81BD" w:sz="8" w:space="0"/>
              <w:right w:val="single" w:color="4F81BD" w:sz="8" w:space="0"/>
            </w:tcBorders>
            <w:shd w:val="clear" w:color="auto" w:fill="DBE5F1"/>
            <w:vAlign w:val="center"/>
          </w:tcPr>
          <w:p>
            <w:pPr>
              <w:spacing w:before="120" w:after="120"/>
              <w:jc w:val="center"/>
              <w:textAlignment w:val="center"/>
              <w:rPr>
                <w:color w:val="000000"/>
                <w:kern w:val="0"/>
                <w:sz w:val="20"/>
              </w:rPr>
            </w:pPr>
            <w:r>
              <w:rPr>
                <w:color w:val="000000"/>
                <w:kern w:val="0"/>
                <w:sz w:val="20"/>
              </w:rPr>
              <w:t>-0.33%</w:t>
            </w:r>
          </w:p>
        </w:tc>
        <w:tc>
          <w:tcPr>
            <w:tcW w:w="1016" w:type="dxa"/>
            <w:tcBorders>
              <w:top w:val="single" w:color="4F81BD" w:sz="12" w:space="0"/>
              <w:left w:val="single" w:color="4F81BD" w:sz="8" w:space="0"/>
              <w:bottom w:val="single" w:color="4F81BD" w:sz="8" w:space="0"/>
              <w:right w:val="single" w:color="4F81BD" w:sz="8" w:space="0"/>
            </w:tcBorders>
            <w:shd w:val="clear" w:color="auto" w:fill="DBE5F1"/>
            <w:vAlign w:val="center"/>
          </w:tcPr>
          <w:p>
            <w:pPr>
              <w:spacing w:before="120" w:after="120"/>
              <w:jc w:val="center"/>
              <w:textAlignment w:val="center"/>
              <w:rPr>
                <w:color w:val="000000"/>
                <w:kern w:val="0"/>
                <w:sz w:val="20"/>
              </w:rPr>
            </w:pPr>
            <w:r>
              <w:rPr>
                <w:color w:val="000000"/>
                <w:kern w:val="0"/>
                <w:sz w:val="20"/>
              </w:rPr>
              <w:t>-0.27%</w:t>
            </w:r>
          </w:p>
        </w:tc>
        <w:tc>
          <w:tcPr>
            <w:tcW w:w="1034" w:type="dxa"/>
            <w:tcBorders>
              <w:top w:val="single" w:color="4F81BD" w:sz="12" w:space="0"/>
              <w:left w:val="single" w:color="4F81BD" w:sz="8" w:space="0"/>
              <w:bottom w:val="single" w:color="4F81BD" w:sz="8" w:space="0"/>
              <w:right w:val="single" w:color="4F81BD" w:sz="8" w:space="0"/>
            </w:tcBorders>
            <w:shd w:val="clear" w:color="auto" w:fill="DBE5F1"/>
            <w:vAlign w:val="center"/>
          </w:tcPr>
          <w:p>
            <w:pPr>
              <w:spacing w:before="120" w:after="120"/>
              <w:jc w:val="center"/>
              <w:textAlignment w:val="center"/>
              <w:rPr>
                <w:color w:val="000000"/>
                <w:kern w:val="0"/>
                <w:sz w:val="20"/>
              </w:rPr>
            </w:pPr>
            <w:r>
              <w:rPr>
                <w:color w:val="000000"/>
                <w:kern w:val="0"/>
                <w:sz w:val="20"/>
              </w:rPr>
              <w:t>-0.90%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4" w:type="pct"/>
            <w:tcBorders>
              <w:top w:val="single" w:color="4F81BD" w:sz="8" w:space="0"/>
              <w:left w:val="single" w:color="4F81BD" w:sz="8" w:space="0"/>
              <w:bottom w:val="single" w:color="4F81BD" w:sz="8" w:space="0"/>
              <w:right w:val="single" w:color="4F81BD" w:sz="8" w:space="0"/>
            </w:tcBorders>
            <w:shd w:val="clear" w:color="auto" w:fill="FFFFFF"/>
            <w:vAlign w:val="center"/>
          </w:tcPr>
          <w:p>
            <w:pPr>
              <w:spacing w:before="120" w:after="120"/>
              <w:jc w:val="center"/>
              <w:rPr>
                <w:color w:val="000000"/>
                <w:szCs w:val="21"/>
              </w:rPr>
            </w:pPr>
            <w:r>
              <w:rPr>
                <w:rFonts w:hint="eastAsia"/>
                <w:color w:val="000000"/>
              </w:rPr>
              <w:t>Rank = 3</w:t>
            </w:r>
          </w:p>
        </w:tc>
        <w:tc>
          <w:tcPr>
            <w:tcW w:w="904" w:type="dxa"/>
            <w:tcBorders>
              <w:top w:val="single" w:color="4F81BD" w:sz="8" w:space="0"/>
              <w:left w:val="single" w:color="4F81BD" w:sz="8" w:space="0"/>
              <w:bottom w:val="single" w:color="4F81BD" w:sz="8" w:space="0"/>
              <w:right w:val="single" w:color="4F81BD" w:sz="8" w:space="0"/>
            </w:tcBorders>
            <w:shd w:val="clear" w:color="auto" w:fill="FFFFFF"/>
            <w:vAlign w:val="center"/>
          </w:tcPr>
          <w:p>
            <w:pPr>
              <w:spacing w:before="120" w:after="120"/>
              <w:jc w:val="center"/>
              <w:textAlignment w:val="center"/>
              <w:rPr>
                <w:color w:val="000000"/>
                <w:kern w:val="0"/>
                <w:sz w:val="20"/>
              </w:rPr>
            </w:pPr>
            <w:r>
              <w:rPr>
                <w:color w:val="000000"/>
                <w:kern w:val="0"/>
                <w:sz w:val="20"/>
              </w:rPr>
              <w:t>-0.60%</w:t>
            </w:r>
          </w:p>
        </w:tc>
        <w:tc>
          <w:tcPr>
            <w:tcW w:w="980" w:type="dxa"/>
            <w:tcBorders>
              <w:top w:val="single" w:color="4F81BD" w:sz="8" w:space="0"/>
              <w:left w:val="single" w:color="4F81BD" w:sz="8" w:space="0"/>
              <w:bottom w:val="single" w:color="4F81BD" w:sz="8" w:space="0"/>
              <w:right w:val="single" w:color="4F81BD" w:sz="8" w:space="0"/>
            </w:tcBorders>
            <w:shd w:val="clear" w:color="auto" w:fill="FFFFFF"/>
            <w:vAlign w:val="center"/>
          </w:tcPr>
          <w:p>
            <w:pPr>
              <w:spacing w:before="120" w:after="120"/>
              <w:jc w:val="center"/>
              <w:textAlignment w:val="center"/>
              <w:rPr>
                <w:color w:val="000000"/>
                <w:kern w:val="0"/>
                <w:sz w:val="20"/>
              </w:rPr>
            </w:pPr>
            <w:r>
              <w:rPr>
                <w:color w:val="000000"/>
                <w:kern w:val="0"/>
                <w:sz w:val="20"/>
              </w:rPr>
              <w:t>0.45%</w:t>
            </w:r>
          </w:p>
        </w:tc>
        <w:tc>
          <w:tcPr>
            <w:tcW w:w="980" w:type="dxa"/>
            <w:tcBorders>
              <w:top w:val="single" w:color="4F81BD" w:sz="8" w:space="0"/>
              <w:left w:val="single" w:color="4F81BD" w:sz="8" w:space="0"/>
              <w:bottom w:val="single" w:color="4F81BD" w:sz="8" w:space="0"/>
              <w:right w:val="single" w:color="4F81BD" w:sz="8" w:space="0"/>
            </w:tcBorders>
            <w:shd w:val="clear" w:color="auto" w:fill="FFFFFF"/>
            <w:vAlign w:val="center"/>
          </w:tcPr>
          <w:p>
            <w:pPr>
              <w:spacing w:before="120" w:after="120"/>
              <w:jc w:val="center"/>
              <w:textAlignment w:val="center"/>
              <w:rPr>
                <w:color w:val="000000"/>
                <w:kern w:val="0"/>
                <w:sz w:val="20"/>
              </w:rPr>
            </w:pPr>
            <w:r>
              <w:rPr>
                <w:color w:val="000000"/>
                <w:kern w:val="0"/>
                <w:sz w:val="20"/>
              </w:rPr>
              <w:t>-2.69%</w:t>
            </w:r>
          </w:p>
        </w:tc>
        <w:tc>
          <w:tcPr>
            <w:tcW w:w="1016" w:type="dxa"/>
            <w:tcBorders>
              <w:top w:val="single" w:color="4F81BD" w:sz="8" w:space="0"/>
              <w:left w:val="single" w:color="4F81BD" w:sz="8" w:space="0"/>
              <w:bottom w:val="single" w:color="4F81BD" w:sz="8" w:space="0"/>
              <w:right w:val="single" w:color="4F81BD" w:sz="8" w:space="0"/>
            </w:tcBorders>
            <w:shd w:val="clear" w:color="auto" w:fill="FFFFFF"/>
            <w:vAlign w:val="center"/>
          </w:tcPr>
          <w:p>
            <w:pPr>
              <w:spacing w:before="120" w:after="120"/>
              <w:jc w:val="center"/>
              <w:textAlignment w:val="center"/>
              <w:rPr>
                <w:color w:val="000000"/>
                <w:kern w:val="0"/>
                <w:sz w:val="20"/>
              </w:rPr>
            </w:pPr>
            <w:r>
              <w:rPr>
                <w:color w:val="000000"/>
                <w:kern w:val="0"/>
                <w:sz w:val="20"/>
              </w:rPr>
              <w:t>-5.84%</w:t>
            </w:r>
          </w:p>
        </w:tc>
        <w:tc>
          <w:tcPr>
            <w:tcW w:w="1016" w:type="dxa"/>
            <w:tcBorders>
              <w:top w:val="single" w:color="4F81BD" w:sz="8" w:space="0"/>
              <w:left w:val="single" w:color="4F81BD" w:sz="8" w:space="0"/>
              <w:bottom w:val="single" w:color="4F81BD" w:sz="8" w:space="0"/>
              <w:right w:val="single" w:color="4F81BD" w:sz="8" w:space="0"/>
            </w:tcBorders>
            <w:shd w:val="clear" w:color="auto" w:fill="FFFFFF"/>
            <w:vAlign w:val="center"/>
          </w:tcPr>
          <w:p>
            <w:pPr>
              <w:spacing w:before="120" w:after="120"/>
              <w:jc w:val="center"/>
              <w:textAlignment w:val="center"/>
              <w:rPr>
                <w:color w:val="000000"/>
                <w:kern w:val="0"/>
                <w:sz w:val="20"/>
              </w:rPr>
            </w:pPr>
            <w:r>
              <w:rPr>
                <w:color w:val="000000"/>
                <w:kern w:val="0"/>
                <w:sz w:val="20"/>
              </w:rPr>
              <w:t>-0.64%</w:t>
            </w:r>
          </w:p>
        </w:tc>
        <w:tc>
          <w:tcPr>
            <w:tcW w:w="1016" w:type="dxa"/>
            <w:tcBorders>
              <w:top w:val="single" w:color="4F81BD" w:sz="8" w:space="0"/>
              <w:left w:val="single" w:color="4F81BD" w:sz="8" w:space="0"/>
              <w:bottom w:val="single" w:color="4F81BD" w:sz="8" w:space="0"/>
              <w:right w:val="single" w:color="4F81BD" w:sz="8" w:space="0"/>
            </w:tcBorders>
            <w:shd w:val="clear" w:color="auto" w:fill="FFFFFF"/>
            <w:vAlign w:val="center"/>
          </w:tcPr>
          <w:p>
            <w:pPr>
              <w:spacing w:before="120" w:after="120"/>
              <w:jc w:val="center"/>
              <w:textAlignment w:val="center"/>
              <w:rPr>
                <w:color w:val="000000"/>
                <w:kern w:val="0"/>
                <w:sz w:val="20"/>
              </w:rPr>
            </w:pPr>
            <w:r>
              <w:rPr>
                <w:color w:val="000000"/>
                <w:kern w:val="0"/>
                <w:sz w:val="20"/>
              </w:rPr>
              <w:t>-2.60%</w:t>
            </w:r>
          </w:p>
        </w:tc>
        <w:tc>
          <w:tcPr>
            <w:tcW w:w="1016" w:type="dxa"/>
            <w:tcBorders>
              <w:top w:val="single" w:color="4F81BD" w:sz="8" w:space="0"/>
              <w:left w:val="single" w:color="4F81BD" w:sz="8" w:space="0"/>
              <w:bottom w:val="single" w:color="4F81BD" w:sz="8" w:space="0"/>
              <w:right w:val="single" w:color="4F81BD" w:sz="8" w:space="0"/>
            </w:tcBorders>
            <w:shd w:val="clear" w:color="auto" w:fill="FFFFFF"/>
            <w:vAlign w:val="center"/>
          </w:tcPr>
          <w:p>
            <w:pPr>
              <w:spacing w:before="120" w:after="120"/>
              <w:jc w:val="center"/>
              <w:textAlignment w:val="center"/>
              <w:rPr>
                <w:color w:val="000000"/>
                <w:kern w:val="0"/>
                <w:sz w:val="20"/>
              </w:rPr>
            </w:pPr>
            <w:r>
              <w:rPr>
                <w:color w:val="000000"/>
                <w:kern w:val="0"/>
                <w:sz w:val="20"/>
              </w:rPr>
              <w:t>-2.90%</w:t>
            </w:r>
          </w:p>
        </w:tc>
        <w:tc>
          <w:tcPr>
            <w:tcW w:w="1034" w:type="dxa"/>
            <w:tcBorders>
              <w:top w:val="single" w:color="4F81BD" w:sz="8" w:space="0"/>
              <w:left w:val="single" w:color="4F81BD" w:sz="8" w:space="0"/>
              <w:bottom w:val="single" w:color="4F81BD" w:sz="8" w:space="0"/>
              <w:right w:val="single" w:color="4F81BD" w:sz="8" w:space="0"/>
            </w:tcBorders>
            <w:shd w:val="clear" w:color="auto" w:fill="FFFFFF"/>
            <w:vAlign w:val="center"/>
          </w:tcPr>
          <w:p>
            <w:pPr>
              <w:spacing w:before="120" w:after="120"/>
              <w:jc w:val="center"/>
              <w:textAlignment w:val="center"/>
              <w:rPr>
                <w:color w:val="000000"/>
                <w:kern w:val="0"/>
                <w:sz w:val="20"/>
              </w:rPr>
            </w:pPr>
            <w:r>
              <w:rPr>
                <w:color w:val="000000"/>
                <w:kern w:val="0"/>
                <w:sz w:val="20"/>
              </w:rPr>
              <w:t>-2.12%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4" w:type="pct"/>
            <w:tcBorders>
              <w:top w:val="single" w:color="4F81BD" w:sz="8" w:space="0"/>
              <w:left w:val="single" w:color="4F81BD" w:sz="8" w:space="0"/>
              <w:bottom w:val="single" w:color="4F81BD" w:sz="8" w:space="0"/>
              <w:right w:val="single" w:color="4F81BD" w:sz="8" w:space="0"/>
            </w:tcBorders>
            <w:shd w:val="clear" w:color="auto" w:fill="DBE5F1"/>
            <w:vAlign w:val="center"/>
          </w:tcPr>
          <w:p>
            <w:pPr>
              <w:spacing w:before="120" w:after="120"/>
              <w:jc w:val="center"/>
              <w:rPr>
                <w:color w:val="000000"/>
                <w:szCs w:val="21"/>
              </w:rPr>
            </w:pPr>
            <w:r>
              <w:rPr>
                <w:rFonts w:hint="eastAsia"/>
                <w:color w:val="000000"/>
              </w:rPr>
              <w:t>Rank = 4</w:t>
            </w:r>
          </w:p>
        </w:tc>
        <w:tc>
          <w:tcPr>
            <w:tcW w:w="904" w:type="dxa"/>
            <w:tcBorders>
              <w:top w:val="single" w:color="4F81BD" w:sz="8" w:space="0"/>
              <w:left w:val="single" w:color="4F81BD" w:sz="8" w:space="0"/>
              <w:bottom w:val="single" w:color="4F81BD" w:sz="8" w:space="0"/>
              <w:right w:val="single" w:color="4F81BD" w:sz="8" w:space="0"/>
            </w:tcBorders>
            <w:shd w:val="clear" w:color="auto" w:fill="DBE5F1"/>
            <w:vAlign w:val="center"/>
          </w:tcPr>
          <w:p>
            <w:pPr>
              <w:spacing w:before="120" w:after="120"/>
              <w:jc w:val="center"/>
              <w:textAlignment w:val="center"/>
              <w:rPr>
                <w:color w:val="000000"/>
                <w:kern w:val="0"/>
                <w:sz w:val="20"/>
              </w:rPr>
            </w:pPr>
            <w:r>
              <w:rPr>
                <w:rFonts w:hint="eastAsia"/>
                <w:color w:val="000000"/>
                <w:kern w:val="0"/>
                <w:sz w:val="20"/>
              </w:rPr>
              <w:t>0.63</w:t>
            </w:r>
            <w:r>
              <w:rPr>
                <w:color w:val="000000"/>
                <w:kern w:val="0"/>
                <w:sz w:val="20"/>
              </w:rPr>
              <w:t>%</w:t>
            </w:r>
          </w:p>
        </w:tc>
        <w:tc>
          <w:tcPr>
            <w:tcW w:w="980" w:type="dxa"/>
            <w:tcBorders>
              <w:top w:val="single" w:color="4F81BD" w:sz="8" w:space="0"/>
              <w:left w:val="single" w:color="4F81BD" w:sz="8" w:space="0"/>
              <w:bottom w:val="single" w:color="4F81BD" w:sz="8" w:space="0"/>
              <w:right w:val="single" w:color="4F81BD" w:sz="8" w:space="0"/>
            </w:tcBorders>
            <w:shd w:val="clear" w:color="auto" w:fill="DBE5F1"/>
            <w:vAlign w:val="center"/>
          </w:tcPr>
          <w:p>
            <w:pPr>
              <w:spacing w:before="120" w:after="120"/>
              <w:jc w:val="center"/>
              <w:textAlignment w:val="center"/>
              <w:rPr>
                <w:color w:val="000000"/>
                <w:kern w:val="0"/>
                <w:sz w:val="20"/>
              </w:rPr>
            </w:pPr>
            <w:r>
              <w:rPr>
                <w:rFonts w:hint="eastAsia"/>
                <w:color w:val="000000"/>
                <w:kern w:val="0"/>
                <w:sz w:val="20"/>
              </w:rPr>
              <w:t>-0.14</w:t>
            </w:r>
            <w:r>
              <w:rPr>
                <w:color w:val="000000"/>
                <w:kern w:val="0"/>
                <w:sz w:val="20"/>
              </w:rPr>
              <w:t>%</w:t>
            </w:r>
          </w:p>
        </w:tc>
        <w:tc>
          <w:tcPr>
            <w:tcW w:w="980" w:type="dxa"/>
            <w:tcBorders>
              <w:top w:val="single" w:color="4F81BD" w:sz="8" w:space="0"/>
              <w:left w:val="single" w:color="4F81BD" w:sz="8" w:space="0"/>
              <w:bottom w:val="single" w:color="4F81BD" w:sz="8" w:space="0"/>
              <w:right w:val="single" w:color="4F81BD" w:sz="8" w:space="0"/>
            </w:tcBorders>
            <w:shd w:val="clear" w:color="auto" w:fill="DBE5F1"/>
            <w:vAlign w:val="center"/>
          </w:tcPr>
          <w:p>
            <w:pPr>
              <w:spacing w:before="120" w:after="120"/>
              <w:jc w:val="center"/>
              <w:textAlignment w:val="center"/>
              <w:rPr>
                <w:color w:val="000000"/>
                <w:kern w:val="0"/>
                <w:sz w:val="20"/>
              </w:rPr>
            </w:pPr>
            <w:r>
              <w:rPr>
                <w:color w:val="000000"/>
                <w:kern w:val="0"/>
                <w:sz w:val="20"/>
              </w:rPr>
              <w:t>-</w:t>
            </w:r>
            <w:r>
              <w:rPr>
                <w:rFonts w:hint="eastAsia"/>
                <w:color w:val="000000"/>
                <w:kern w:val="0"/>
                <w:sz w:val="20"/>
              </w:rPr>
              <w:t>1</w:t>
            </w:r>
            <w:r>
              <w:rPr>
                <w:color w:val="000000"/>
                <w:kern w:val="0"/>
                <w:sz w:val="20"/>
              </w:rPr>
              <w:t>.</w:t>
            </w:r>
            <w:r>
              <w:rPr>
                <w:rFonts w:hint="eastAsia"/>
                <w:color w:val="000000"/>
                <w:kern w:val="0"/>
                <w:sz w:val="20"/>
              </w:rPr>
              <w:t>28</w:t>
            </w:r>
            <w:r>
              <w:rPr>
                <w:color w:val="000000"/>
                <w:kern w:val="0"/>
                <w:sz w:val="20"/>
              </w:rPr>
              <w:t>%</w:t>
            </w:r>
          </w:p>
        </w:tc>
        <w:tc>
          <w:tcPr>
            <w:tcW w:w="1016" w:type="dxa"/>
            <w:tcBorders>
              <w:top w:val="single" w:color="4F81BD" w:sz="8" w:space="0"/>
              <w:left w:val="single" w:color="4F81BD" w:sz="8" w:space="0"/>
              <w:bottom w:val="single" w:color="4F81BD" w:sz="8" w:space="0"/>
              <w:right w:val="single" w:color="4F81BD" w:sz="8" w:space="0"/>
            </w:tcBorders>
            <w:shd w:val="clear" w:color="auto" w:fill="DBE5F1"/>
            <w:vAlign w:val="center"/>
          </w:tcPr>
          <w:p>
            <w:pPr>
              <w:spacing w:before="120" w:after="120"/>
              <w:jc w:val="center"/>
              <w:textAlignment w:val="center"/>
              <w:rPr>
                <w:color w:val="000000"/>
                <w:kern w:val="0"/>
                <w:sz w:val="20"/>
              </w:rPr>
            </w:pPr>
            <w:r>
              <w:rPr>
                <w:color w:val="000000"/>
                <w:kern w:val="0"/>
                <w:sz w:val="20"/>
              </w:rPr>
              <w:t>-1.</w:t>
            </w:r>
            <w:r>
              <w:rPr>
                <w:rFonts w:hint="eastAsia"/>
                <w:color w:val="000000"/>
                <w:kern w:val="0"/>
                <w:sz w:val="20"/>
              </w:rPr>
              <w:t>50</w:t>
            </w:r>
            <w:r>
              <w:rPr>
                <w:color w:val="000000"/>
                <w:kern w:val="0"/>
                <w:sz w:val="20"/>
              </w:rPr>
              <w:t>%</w:t>
            </w:r>
          </w:p>
        </w:tc>
        <w:tc>
          <w:tcPr>
            <w:tcW w:w="1016" w:type="dxa"/>
            <w:tcBorders>
              <w:top w:val="single" w:color="4F81BD" w:sz="8" w:space="0"/>
              <w:left w:val="single" w:color="4F81BD" w:sz="8" w:space="0"/>
              <w:bottom w:val="single" w:color="4F81BD" w:sz="8" w:space="0"/>
              <w:right w:val="single" w:color="4F81BD" w:sz="8" w:space="0"/>
            </w:tcBorders>
            <w:shd w:val="clear" w:color="auto" w:fill="DBE5F1"/>
            <w:vAlign w:val="center"/>
          </w:tcPr>
          <w:p>
            <w:pPr>
              <w:spacing w:before="120" w:after="120"/>
              <w:jc w:val="center"/>
              <w:textAlignment w:val="center"/>
              <w:rPr>
                <w:color w:val="000000"/>
                <w:kern w:val="0"/>
                <w:sz w:val="20"/>
              </w:rPr>
            </w:pPr>
            <w:r>
              <w:rPr>
                <w:color w:val="000000"/>
                <w:kern w:val="0"/>
                <w:sz w:val="20"/>
              </w:rPr>
              <w:t>-4.</w:t>
            </w:r>
            <w:r>
              <w:rPr>
                <w:rFonts w:hint="eastAsia"/>
                <w:color w:val="000000"/>
                <w:kern w:val="0"/>
                <w:sz w:val="20"/>
              </w:rPr>
              <w:t>45</w:t>
            </w:r>
            <w:r>
              <w:rPr>
                <w:color w:val="000000"/>
                <w:kern w:val="0"/>
                <w:sz w:val="20"/>
              </w:rPr>
              <w:t>%</w:t>
            </w:r>
          </w:p>
        </w:tc>
        <w:tc>
          <w:tcPr>
            <w:tcW w:w="1016" w:type="dxa"/>
            <w:tcBorders>
              <w:top w:val="single" w:color="4F81BD" w:sz="8" w:space="0"/>
              <w:left w:val="single" w:color="4F81BD" w:sz="8" w:space="0"/>
              <w:bottom w:val="single" w:color="4F81BD" w:sz="8" w:space="0"/>
              <w:right w:val="single" w:color="4F81BD" w:sz="8" w:space="0"/>
            </w:tcBorders>
            <w:shd w:val="clear" w:color="auto" w:fill="DBE5F1"/>
            <w:vAlign w:val="center"/>
          </w:tcPr>
          <w:p>
            <w:pPr>
              <w:spacing w:before="120" w:after="120"/>
              <w:jc w:val="center"/>
              <w:textAlignment w:val="center"/>
              <w:rPr>
                <w:color w:val="000000"/>
                <w:kern w:val="0"/>
                <w:sz w:val="20"/>
              </w:rPr>
            </w:pPr>
            <w:r>
              <w:rPr>
                <w:color w:val="000000"/>
                <w:kern w:val="0"/>
                <w:sz w:val="20"/>
              </w:rPr>
              <w:t>-2.</w:t>
            </w:r>
            <w:r>
              <w:rPr>
                <w:rFonts w:hint="eastAsia"/>
                <w:color w:val="000000"/>
                <w:kern w:val="0"/>
                <w:sz w:val="20"/>
              </w:rPr>
              <w:t>87</w:t>
            </w:r>
            <w:r>
              <w:rPr>
                <w:color w:val="000000"/>
                <w:kern w:val="0"/>
                <w:sz w:val="20"/>
              </w:rPr>
              <w:t>%</w:t>
            </w:r>
          </w:p>
        </w:tc>
        <w:tc>
          <w:tcPr>
            <w:tcW w:w="1016" w:type="dxa"/>
            <w:tcBorders>
              <w:top w:val="single" w:color="4F81BD" w:sz="8" w:space="0"/>
              <w:left w:val="single" w:color="4F81BD" w:sz="8" w:space="0"/>
              <w:bottom w:val="single" w:color="4F81BD" w:sz="8" w:space="0"/>
              <w:right w:val="single" w:color="4F81BD" w:sz="8" w:space="0"/>
            </w:tcBorders>
            <w:shd w:val="clear" w:color="auto" w:fill="DBE5F1"/>
            <w:vAlign w:val="center"/>
          </w:tcPr>
          <w:p>
            <w:pPr>
              <w:spacing w:before="120" w:after="120"/>
              <w:jc w:val="center"/>
              <w:textAlignment w:val="center"/>
              <w:rPr>
                <w:color w:val="000000"/>
                <w:kern w:val="0"/>
                <w:sz w:val="20"/>
              </w:rPr>
            </w:pPr>
            <w:r>
              <w:rPr>
                <w:color w:val="000000"/>
                <w:kern w:val="0"/>
                <w:sz w:val="20"/>
              </w:rPr>
              <w:t>-</w:t>
            </w:r>
            <w:r>
              <w:rPr>
                <w:rFonts w:hint="eastAsia"/>
                <w:color w:val="000000"/>
                <w:kern w:val="0"/>
                <w:sz w:val="20"/>
              </w:rPr>
              <w:t>3</w:t>
            </w:r>
            <w:r>
              <w:rPr>
                <w:color w:val="000000"/>
                <w:kern w:val="0"/>
                <w:sz w:val="20"/>
              </w:rPr>
              <w:t>.</w:t>
            </w:r>
            <w:r>
              <w:rPr>
                <w:rFonts w:hint="eastAsia"/>
                <w:color w:val="000000"/>
                <w:kern w:val="0"/>
                <w:sz w:val="20"/>
              </w:rPr>
              <w:t>35</w:t>
            </w:r>
            <w:r>
              <w:rPr>
                <w:color w:val="000000"/>
                <w:kern w:val="0"/>
                <w:sz w:val="20"/>
              </w:rPr>
              <w:t>%</w:t>
            </w:r>
          </w:p>
        </w:tc>
        <w:tc>
          <w:tcPr>
            <w:tcW w:w="1034" w:type="dxa"/>
            <w:tcBorders>
              <w:top w:val="single" w:color="4F81BD" w:sz="8" w:space="0"/>
              <w:left w:val="single" w:color="4F81BD" w:sz="8" w:space="0"/>
              <w:bottom w:val="single" w:color="4F81BD" w:sz="8" w:space="0"/>
              <w:right w:val="single" w:color="4F81BD" w:sz="8" w:space="0"/>
            </w:tcBorders>
            <w:shd w:val="clear" w:color="auto" w:fill="DBE5F1"/>
            <w:vAlign w:val="center"/>
          </w:tcPr>
          <w:p>
            <w:pPr>
              <w:spacing w:before="120" w:after="120"/>
              <w:jc w:val="center"/>
              <w:textAlignment w:val="center"/>
              <w:rPr>
                <w:color w:val="000000"/>
                <w:kern w:val="0"/>
                <w:sz w:val="20"/>
              </w:rPr>
            </w:pPr>
            <w:r>
              <w:rPr>
                <w:color w:val="000000"/>
                <w:kern w:val="0"/>
                <w:sz w:val="20"/>
              </w:rPr>
              <w:t>-1.</w:t>
            </w:r>
            <w:r>
              <w:rPr>
                <w:rFonts w:hint="eastAsia"/>
                <w:color w:val="000000"/>
                <w:kern w:val="0"/>
                <w:sz w:val="20"/>
              </w:rPr>
              <w:t>8</w:t>
            </w:r>
            <w:r>
              <w:rPr>
                <w:color w:val="000000"/>
                <w:kern w:val="0"/>
                <w:sz w:val="20"/>
              </w:rPr>
              <w:t>5%</w:t>
            </w:r>
          </w:p>
        </w:tc>
      </w:tr>
    </w:tbl>
    <w:p>
      <w:pPr>
        <w:spacing w:before="120" w:after="120"/>
      </w:pPr>
    </w:p>
    <w:p>
      <w:pPr>
        <w:spacing w:before="120" w:after="120"/>
        <w:jc w:val="center"/>
        <w:rPr>
          <w:b/>
        </w:rPr>
      </w:pPr>
      <w:r>
        <w:rPr>
          <w:b/>
        </w:rPr>
        <w:t xml:space="preserve">Table </w:t>
      </w:r>
      <w:r>
        <w:rPr>
          <w:rFonts w:hint="eastAsia"/>
          <w:b/>
        </w:rPr>
        <w:t>3</w:t>
      </w:r>
      <w:r>
        <w:rPr>
          <w:b/>
        </w:rPr>
        <w:t xml:space="preserve">. </w:t>
      </w:r>
      <w:r>
        <w:rPr>
          <w:rFonts w:hint="eastAsia"/>
          <w:b/>
        </w:rPr>
        <w:t xml:space="preserve">Throughput </w:t>
      </w:r>
      <w:r>
        <w:rPr>
          <w:b/>
        </w:rPr>
        <w:t xml:space="preserve">loss of </w:t>
      </w:r>
      <m:oMath>
        <m:sSubSup>
          <m:sSubSupPr>
            <m:ctrlPr>
              <w:rPr>
                <w:rFonts w:ascii="Cambria Math" w:hAnsi="Cambria Math"/>
              </w:rPr>
            </m:ctrlPr>
          </m:sSubSupPr>
          <m:e>
            <m:r>
              <m:rPr>
                <m:sty m:val="p"/>
              </m:rPr>
              <w:rPr>
                <w:rFonts w:hint="eastAsia" w:ascii="Cambria Math" w:hAnsi="Cambria Math"/>
              </w:rPr>
              <m:t>M</m:t>
            </m:r>
            <m:ctrlPr>
              <w:rPr>
                <w:rFonts w:ascii="Cambria Math" w:hAnsi="Cambria Math"/>
              </w:rPr>
            </m:ctrlPr>
          </m:e>
          <m:sub>
            <m:r>
              <w:rPr>
                <w:rFonts w:ascii="Cambria Math" w:hAnsi="Cambria Math"/>
              </w:rPr>
              <m:t>24</m:t>
            </m:r>
            <m:ctrlPr>
              <w:rPr>
                <w:rFonts w:ascii="Cambria Math" w:hAnsi="Cambria Math"/>
              </w:rPr>
            </m:ctrlPr>
          </m:sub>
          <m:sup>
            <m:r>
              <w:rPr>
                <w:rFonts w:ascii="Cambria Math" w:hAnsi="Cambria Math"/>
              </w:rPr>
              <m:t>32</m:t>
            </m:r>
            <m:ctrlPr>
              <w:rPr>
                <w:rFonts w:ascii="Cambria Math" w:hAnsi="Cambria Math"/>
              </w:rPr>
            </m:ctrlPr>
          </m:sup>
        </m:sSubSup>
      </m:oMath>
      <w:r>
        <w:rPr>
          <w:rFonts w:hint="eastAsia"/>
          <w:b/>
        </w:rPr>
        <w:t xml:space="preserve"> compared with </w:t>
      </w:r>
      <m:oMath>
        <m:sSubSup>
          <m:sSubSupPr>
            <m:ctrlPr>
              <w:rPr>
                <w:rFonts w:ascii="Cambria Math" w:hAnsi="Cambria Math"/>
              </w:rPr>
            </m:ctrlPr>
          </m:sSubSupPr>
          <m:e>
            <m:r>
              <m:rPr>
                <m:sty m:val="p"/>
              </m:rPr>
              <w:rPr>
                <w:rFonts w:hint="eastAsia" w:ascii="Cambria Math" w:hAnsi="Cambria Math"/>
              </w:rPr>
              <m:t>M</m:t>
            </m:r>
            <m:ctrlPr>
              <w:rPr>
                <w:rFonts w:ascii="Cambria Math" w:hAnsi="Cambria Math"/>
              </w:rPr>
            </m:ctrlPr>
          </m:e>
          <m:sub>
            <m:r>
              <w:rPr>
                <w:rFonts w:ascii="Cambria Math" w:hAnsi="Cambria Math"/>
              </w:rPr>
              <m:t>24</m:t>
            </m:r>
            <m:ctrlPr>
              <w:rPr>
                <w:rFonts w:ascii="Cambria Math" w:hAnsi="Cambria Math"/>
              </w:rPr>
            </m:ctrlPr>
          </m:sub>
          <m:sup>
            <m:ctrlPr>
              <w:rPr>
                <w:rFonts w:ascii="Cambria Math" w:hAnsi="Cambria Math"/>
              </w:rPr>
            </m:ctrlPr>
          </m:sup>
        </m:sSubSup>
      </m:oMath>
      <w:r>
        <w:rPr>
          <w:rFonts w:hint="eastAsia"/>
          <w:b/>
        </w:rPr>
        <w:t xml:space="preserve"> for</w:t>
      </w:r>
      <w:r>
        <w:rPr>
          <w:b/>
        </w:rPr>
        <w:t xml:space="preserve"> 24 ports </w:t>
      </w:r>
      <w:r>
        <w:rPr>
          <w:rFonts w:hint="eastAsia"/>
          <w:b/>
        </w:rPr>
        <w:t>(</w:t>
      </w:r>
      <w:r>
        <w:rPr>
          <w:b/>
        </w:rPr>
        <w:t>Configuration: 8×2</w:t>
      </w:r>
      <w:r>
        <w:rPr>
          <w:rFonts w:hint="eastAsia"/>
          <w:b/>
        </w:rPr>
        <w:t xml:space="preserve"> fixed rank)</w:t>
      </w:r>
    </w:p>
    <w:tbl>
      <w:tblPr>
        <w:tblStyle w:val="19"/>
        <w:tblW w:w="499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84"/>
        <w:gridCol w:w="956"/>
        <w:gridCol w:w="956"/>
        <w:gridCol w:w="956"/>
        <w:gridCol w:w="956"/>
        <w:gridCol w:w="956"/>
        <w:gridCol w:w="956"/>
        <w:gridCol w:w="956"/>
        <w:gridCol w:w="1090"/>
      </w:tblGrid>
      <w:tr>
        <w:tblPrEx>
          <w:tblCellMar>
            <w:top w:w="0" w:type="dxa"/>
            <w:left w:w="108" w:type="dxa"/>
            <w:bottom w:w="0" w:type="dxa"/>
            <w:right w:w="108" w:type="dxa"/>
          </w:tblCellMar>
        </w:tblPrEx>
        <w:trPr>
          <w:trHeight w:val="1223" w:hRule="atLeast"/>
        </w:trPr>
        <w:tc>
          <w:tcPr>
            <w:tcW w:w="1056" w:type="pct"/>
            <w:tcBorders>
              <w:top w:val="single" w:color="4F81BD" w:sz="8" w:space="0"/>
              <w:left w:val="single" w:color="4F81BD" w:sz="8" w:space="0"/>
              <w:bottom w:val="single" w:color="4F81BD" w:sz="8" w:space="0"/>
              <w:right w:val="dotted" w:color="auto" w:sz="4" w:space="0"/>
              <w:tl2br w:val="single" w:color="auto" w:sz="4" w:space="0"/>
            </w:tcBorders>
            <w:shd w:val="clear" w:color="auto" w:fill="4F81BD"/>
          </w:tcPr>
          <w:p>
            <w:pPr>
              <w:snapToGrid w:val="0"/>
              <w:spacing w:before="120" w:after="120"/>
              <w:ind w:firstLine="735" w:firstLineChars="350"/>
              <w:rPr>
                <w:color w:val="FFFFFF"/>
              </w:rPr>
            </w:pPr>
            <w:r>
              <w:rPr>
                <w:color w:val="FFFFFF"/>
              </w:rPr>
              <w:t>SNR(dB)</w:t>
            </w:r>
          </w:p>
          <w:p>
            <w:pPr>
              <w:snapToGrid w:val="0"/>
              <w:spacing w:before="120" w:after="120"/>
              <w:rPr>
                <w:color w:val="FFFFFF"/>
              </w:rPr>
            </w:pPr>
            <w:r>
              <w:rPr>
                <w:rFonts w:hint="eastAsia"/>
                <w:color w:val="FFFFFF"/>
              </w:rPr>
              <w:t>cases</w:t>
            </w:r>
          </w:p>
        </w:tc>
        <w:tc>
          <w:tcPr>
            <w:tcW w:w="484" w:type="pct"/>
            <w:tcBorders>
              <w:top w:val="single" w:color="4F81BD" w:sz="8" w:space="0"/>
              <w:left w:val="dotted" w:color="auto" w:sz="0" w:space="0"/>
              <w:bottom w:val="single" w:color="4F81BD" w:sz="8" w:space="0"/>
              <w:right w:val="dotted" w:color="auto" w:sz="4" w:space="0"/>
            </w:tcBorders>
            <w:shd w:val="clear" w:color="auto" w:fill="4F81BD"/>
            <w:vAlign w:val="center"/>
          </w:tcPr>
          <w:p>
            <w:pPr>
              <w:spacing w:before="120" w:after="120"/>
              <w:jc w:val="center"/>
              <w:rPr>
                <w:color w:val="FFFFFF"/>
              </w:rPr>
            </w:pPr>
            <w:r>
              <w:rPr>
                <w:color w:val="FFFFFF"/>
              </w:rPr>
              <w:t>-5</w:t>
            </w:r>
          </w:p>
        </w:tc>
        <w:tc>
          <w:tcPr>
            <w:tcW w:w="484" w:type="pct"/>
            <w:tcBorders>
              <w:top w:val="single" w:color="4F81BD" w:sz="8" w:space="0"/>
              <w:left w:val="dotted" w:color="auto" w:sz="0" w:space="0"/>
              <w:bottom w:val="single" w:color="4F81BD" w:sz="8" w:space="0"/>
              <w:right w:val="dotted" w:color="auto" w:sz="4" w:space="0"/>
            </w:tcBorders>
            <w:shd w:val="clear" w:color="auto" w:fill="4F81BD"/>
            <w:vAlign w:val="center"/>
          </w:tcPr>
          <w:p>
            <w:pPr>
              <w:spacing w:before="120" w:after="120"/>
              <w:jc w:val="center"/>
              <w:rPr>
                <w:color w:val="FFFFFF"/>
              </w:rPr>
            </w:pPr>
            <w:r>
              <w:rPr>
                <w:color w:val="FFFFFF"/>
              </w:rPr>
              <w:t>0</w:t>
            </w:r>
          </w:p>
        </w:tc>
        <w:tc>
          <w:tcPr>
            <w:tcW w:w="484" w:type="pct"/>
            <w:tcBorders>
              <w:top w:val="single" w:color="4F81BD" w:sz="8" w:space="0"/>
              <w:left w:val="dotted" w:color="auto" w:sz="0" w:space="0"/>
              <w:bottom w:val="single" w:color="4F81BD" w:sz="8" w:space="0"/>
              <w:right w:val="dotted" w:color="auto" w:sz="4" w:space="0"/>
            </w:tcBorders>
            <w:shd w:val="clear" w:color="auto" w:fill="4F81BD"/>
            <w:vAlign w:val="center"/>
          </w:tcPr>
          <w:p>
            <w:pPr>
              <w:spacing w:before="120" w:after="120"/>
              <w:jc w:val="center"/>
              <w:rPr>
                <w:color w:val="FFFFFF"/>
              </w:rPr>
            </w:pPr>
            <w:r>
              <w:rPr>
                <w:color w:val="FFFFFF"/>
              </w:rPr>
              <w:t>5</w:t>
            </w:r>
          </w:p>
        </w:tc>
        <w:tc>
          <w:tcPr>
            <w:tcW w:w="484" w:type="pct"/>
            <w:tcBorders>
              <w:top w:val="single" w:color="4F81BD" w:sz="8" w:space="0"/>
              <w:left w:val="dotted" w:color="auto" w:sz="0" w:space="0"/>
              <w:bottom w:val="single" w:color="4F81BD" w:sz="8" w:space="0"/>
              <w:right w:val="dotted" w:color="auto" w:sz="4" w:space="0"/>
            </w:tcBorders>
            <w:shd w:val="clear" w:color="auto" w:fill="4F81BD"/>
            <w:vAlign w:val="center"/>
          </w:tcPr>
          <w:p>
            <w:pPr>
              <w:spacing w:before="120" w:after="120"/>
              <w:jc w:val="center"/>
              <w:rPr>
                <w:color w:val="FFFFFF"/>
              </w:rPr>
            </w:pPr>
            <w:r>
              <w:rPr>
                <w:color w:val="FFFFFF"/>
              </w:rPr>
              <w:t>10</w:t>
            </w:r>
          </w:p>
        </w:tc>
        <w:tc>
          <w:tcPr>
            <w:tcW w:w="484" w:type="pct"/>
            <w:tcBorders>
              <w:top w:val="single" w:color="4F81BD" w:sz="8" w:space="0"/>
              <w:left w:val="dotted" w:color="auto" w:sz="0" w:space="0"/>
              <w:bottom w:val="single" w:color="4F81BD" w:sz="8" w:space="0"/>
              <w:right w:val="dotted" w:color="auto" w:sz="4" w:space="0"/>
            </w:tcBorders>
            <w:shd w:val="clear" w:color="auto" w:fill="4F81BD"/>
            <w:vAlign w:val="center"/>
          </w:tcPr>
          <w:p>
            <w:pPr>
              <w:spacing w:before="120" w:after="120"/>
              <w:jc w:val="center"/>
              <w:rPr>
                <w:color w:val="FFFFFF"/>
              </w:rPr>
            </w:pPr>
            <w:r>
              <w:rPr>
                <w:color w:val="FFFFFF"/>
              </w:rPr>
              <w:t>15</w:t>
            </w:r>
          </w:p>
        </w:tc>
        <w:tc>
          <w:tcPr>
            <w:tcW w:w="484" w:type="pct"/>
            <w:tcBorders>
              <w:top w:val="single" w:color="4F81BD" w:sz="8" w:space="0"/>
              <w:left w:val="dotted" w:color="auto" w:sz="0" w:space="0"/>
              <w:bottom w:val="single" w:color="4F81BD" w:sz="8" w:space="0"/>
              <w:right w:val="dotted" w:color="auto" w:sz="4" w:space="0"/>
            </w:tcBorders>
            <w:shd w:val="clear" w:color="auto" w:fill="4F81BD"/>
            <w:vAlign w:val="center"/>
          </w:tcPr>
          <w:p>
            <w:pPr>
              <w:spacing w:before="120" w:after="120"/>
              <w:jc w:val="center"/>
              <w:rPr>
                <w:color w:val="FFFFFF"/>
              </w:rPr>
            </w:pPr>
            <w:r>
              <w:rPr>
                <w:color w:val="FFFFFF"/>
              </w:rPr>
              <w:t>20</w:t>
            </w:r>
          </w:p>
        </w:tc>
        <w:tc>
          <w:tcPr>
            <w:tcW w:w="484" w:type="pct"/>
            <w:tcBorders>
              <w:top w:val="single" w:color="4F81BD" w:sz="8" w:space="0"/>
              <w:left w:val="dotted" w:color="auto" w:sz="0" w:space="0"/>
              <w:bottom w:val="single" w:color="4F81BD" w:sz="8" w:space="0"/>
              <w:right w:val="dotted" w:color="auto" w:sz="4" w:space="0"/>
            </w:tcBorders>
            <w:shd w:val="clear" w:color="auto" w:fill="4F81BD"/>
            <w:vAlign w:val="center"/>
          </w:tcPr>
          <w:p>
            <w:pPr>
              <w:spacing w:before="120" w:after="120"/>
              <w:jc w:val="center"/>
              <w:rPr>
                <w:color w:val="FFFFFF"/>
              </w:rPr>
            </w:pPr>
            <w:r>
              <w:rPr>
                <w:color w:val="FFFFFF"/>
              </w:rPr>
              <w:t>25</w:t>
            </w:r>
          </w:p>
        </w:tc>
        <w:tc>
          <w:tcPr>
            <w:tcW w:w="552" w:type="pct"/>
            <w:tcBorders>
              <w:top w:val="single" w:color="4F81BD" w:sz="8" w:space="0"/>
              <w:left w:val="dotted" w:color="auto" w:sz="0" w:space="0"/>
              <w:bottom w:val="single" w:color="4F81BD" w:sz="8" w:space="0"/>
              <w:right w:val="single" w:color="4F81BD" w:sz="8" w:space="0"/>
            </w:tcBorders>
            <w:shd w:val="clear" w:color="auto" w:fill="4F81BD"/>
            <w:vAlign w:val="center"/>
          </w:tcPr>
          <w:p>
            <w:pPr>
              <w:spacing w:before="120" w:after="120"/>
              <w:jc w:val="center"/>
              <w:rPr>
                <w:color w:val="FFFFFF"/>
              </w:rPr>
            </w:pPr>
            <w:r>
              <w:rPr>
                <w:color w:val="FFFFFF"/>
              </w:rPr>
              <w:t>Average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6" w:type="pct"/>
            <w:tcBorders>
              <w:top w:val="single" w:color="4F81BD" w:sz="8" w:space="0"/>
              <w:left w:val="single" w:color="4F81BD" w:sz="8" w:space="0"/>
              <w:bottom w:val="single" w:color="4F81BD" w:sz="8" w:space="0"/>
              <w:right w:val="dotted" w:color="auto" w:sz="4" w:space="0"/>
            </w:tcBorders>
            <w:shd w:val="clear" w:color="auto" w:fill="E9EDF4"/>
            <w:vAlign w:val="center"/>
          </w:tcPr>
          <w:p>
            <w:pPr>
              <w:spacing w:before="120" w:after="120"/>
              <w:jc w:val="center"/>
              <w:rPr>
                <w:color w:val="000000"/>
              </w:rPr>
            </w:pPr>
            <w:r>
              <w:rPr>
                <w:rFonts w:hint="eastAsia"/>
                <w:color w:val="000000"/>
              </w:rPr>
              <w:t>Rank = 1</w:t>
            </w:r>
          </w:p>
        </w:tc>
        <w:tc>
          <w:tcPr>
            <w:tcW w:w="484" w:type="pct"/>
            <w:tcBorders>
              <w:top w:val="single" w:color="4F81BD" w:sz="8" w:space="0"/>
              <w:left w:val="dotted" w:color="auto" w:sz="0" w:space="0"/>
              <w:bottom w:val="single" w:color="4F81BD" w:sz="8" w:space="0"/>
              <w:right w:val="dotted" w:color="auto" w:sz="4" w:space="0"/>
            </w:tcBorders>
            <w:shd w:val="clear" w:color="auto" w:fill="E9EDF4"/>
            <w:vAlign w:val="center"/>
          </w:tcPr>
          <w:p>
            <w:pPr>
              <w:spacing w:before="120" w:after="120"/>
              <w:jc w:val="center"/>
              <w:textAlignment w:val="center"/>
              <w:rPr>
                <w:color w:val="000000"/>
              </w:rPr>
            </w:pPr>
            <w:r>
              <w:rPr>
                <w:color w:val="000000"/>
                <w:kern w:val="0"/>
                <w:sz w:val="20"/>
              </w:rPr>
              <w:t>-0.82%</w:t>
            </w:r>
          </w:p>
        </w:tc>
        <w:tc>
          <w:tcPr>
            <w:tcW w:w="484" w:type="pct"/>
            <w:tcBorders>
              <w:top w:val="single" w:color="4F81BD" w:sz="8" w:space="0"/>
              <w:left w:val="dotted" w:color="auto" w:sz="0" w:space="0"/>
              <w:bottom w:val="single" w:color="4F81BD" w:sz="8" w:space="0"/>
              <w:right w:val="dotted" w:color="auto" w:sz="4" w:space="0"/>
            </w:tcBorders>
            <w:shd w:val="clear" w:color="auto" w:fill="E9EDF4"/>
            <w:vAlign w:val="center"/>
          </w:tcPr>
          <w:p>
            <w:pPr>
              <w:spacing w:before="120" w:after="120"/>
              <w:jc w:val="center"/>
              <w:textAlignment w:val="center"/>
              <w:rPr>
                <w:color w:val="000000"/>
              </w:rPr>
            </w:pPr>
            <w:r>
              <w:rPr>
                <w:color w:val="000000"/>
                <w:kern w:val="0"/>
                <w:sz w:val="20"/>
              </w:rPr>
              <w:t>-0.85%</w:t>
            </w:r>
          </w:p>
        </w:tc>
        <w:tc>
          <w:tcPr>
            <w:tcW w:w="484" w:type="pct"/>
            <w:tcBorders>
              <w:top w:val="single" w:color="4F81BD" w:sz="8" w:space="0"/>
              <w:left w:val="dotted" w:color="auto" w:sz="0" w:space="0"/>
              <w:bottom w:val="single" w:color="4F81BD" w:sz="8" w:space="0"/>
              <w:right w:val="dotted" w:color="auto" w:sz="4" w:space="0"/>
            </w:tcBorders>
            <w:shd w:val="clear" w:color="auto" w:fill="E9EDF4"/>
            <w:vAlign w:val="center"/>
          </w:tcPr>
          <w:p>
            <w:pPr>
              <w:spacing w:before="120" w:after="120"/>
              <w:jc w:val="center"/>
              <w:textAlignment w:val="center"/>
              <w:rPr>
                <w:color w:val="000000"/>
              </w:rPr>
            </w:pPr>
            <w:r>
              <w:rPr>
                <w:color w:val="000000"/>
                <w:kern w:val="0"/>
                <w:sz w:val="20"/>
              </w:rPr>
              <w:t>-0.82%</w:t>
            </w:r>
          </w:p>
        </w:tc>
        <w:tc>
          <w:tcPr>
            <w:tcW w:w="484" w:type="pct"/>
            <w:tcBorders>
              <w:top w:val="single" w:color="4F81BD" w:sz="8" w:space="0"/>
              <w:left w:val="dotted" w:color="auto" w:sz="0" w:space="0"/>
              <w:bottom w:val="single" w:color="4F81BD" w:sz="8" w:space="0"/>
              <w:right w:val="dotted" w:color="auto" w:sz="4" w:space="0"/>
            </w:tcBorders>
            <w:shd w:val="clear" w:color="auto" w:fill="E9EDF4"/>
            <w:vAlign w:val="center"/>
          </w:tcPr>
          <w:p>
            <w:pPr>
              <w:spacing w:before="120" w:after="120"/>
              <w:jc w:val="center"/>
              <w:textAlignment w:val="center"/>
              <w:rPr>
                <w:color w:val="000000"/>
              </w:rPr>
            </w:pPr>
            <w:r>
              <w:rPr>
                <w:color w:val="000000"/>
                <w:kern w:val="0"/>
                <w:sz w:val="20"/>
              </w:rPr>
              <w:t>0.04%</w:t>
            </w:r>
          </w:p>
        </w:tc>
        <w:tc>
          <w:tcPr>
            <w:tcW w:w="484" w:type="pct"/>
            <w:tcBorders>
              <w:top w:val="single" w:color="4F81BD" w:sz="8" w:space="0"/>
              <w:left w:val="dotted" w:color="auto" w:sz="0" w:space="0"/>
              <w:bottom w:val="single" w:color="4F81BD" w:sz="8" w:space="0"/>
              <w:right w:val="dotted" w:color="auto" w:sz="4" w:space="0"/>
            </w:tcBorders>
            <w:shd w:val="clear" w:color="auto" w:fill="E9EDF4"/>
            <w:vAlign w:val="center"/>
          </w:tcPr>
          <w:p>
            <w:pPr>
              <w:spacing w:before="120" w:after="120"/>
              <w:jc w:val="center"/>
              <w:textAlignment w:val="center"/>
              <w:rPr>
                <w:color w:val="000000"/>
              </w:rPr>
            </w:pPr>
            <w:r>
              <w:rPr>
                <w:color w:val="000000"/>
                <w:kern w:val="0"/>
                <w:sz w:val="20"/>
              </w:rPr>
              <w:t>0.00%</w:t>
            </w:r>
          </w:p>
        </w:tc>
        <w:tc>
          <w:tcPr>
            <w:tcW w:w="484" w:type="pct"/>
            <w:tcBorders>
              <w:top w:val="single" w:color="4F81BD" w:sz="8" w:space="0"/>
              <w:left w:val="dotted" w:color="auto" w:sz="0" w:space="0"/>
              <w:bottom w:val="single" w:color="4F81BD" w:sz="8" w:space="0"/>
              <w:right w:val="dotted" w:color="auto" w:sz="4" w:space="0"/>
            </w:tcBorders>
            <w:shd w:val="clear" w:color="auto" w:fill="E9EDF4"/>
            <w:vAlign w:val="center"/>
          </w:tcPr>
          <w:p>
            <w:pPr>
              <w:spacing w:before="120" w:after="120"/>
              <w:jc w:val="center"/>
              <w:textAlignment w:val="center"/>
              <w:rPr>
                <w:color w:val="000000"/>
              </w:rPr>
            </w:pPr>
            <w:r>
              <w:rPr>
                <w:color w:val="000000"/>
                <w:kern w:val="0"/>
                <w:sz w:val="20"/>
              </w:rPr>
              <w:t>0.00%</w:t>
            </w:r>
          </w:p>
        </w:tc>
        <w:tc>
          <w:tcPr>
            <w:tcW w:w="484" w:type="pct"/>
            <w:tcBorders>
              <w:top w:val="single" w:color="4F81BD" w:sz="8" w:space="0"/>
              <w:left w:val="dotted" w:color="auto" w:sz="0" w:space="0"/>
              <w:bottom w:val="single" w:color="4F81BD" w:sz="8" w:space="0"/>
              <w:right w:val="dotted" w:color="auto" w:sz="4" w:space="0"/>
            </w:tcBorders>
            <w:shd w:val="clear" w:color="auto" w:fill="E9EDF4"/>
            <w:vAlign w:val="center"/>
          </w:tcPr>
          <w:p>
            <w:pPr>
              <w:spacing w:before="120" w:after="120"/>
              <w:jc w:val="center"/>
              <w:textAlignment w:val="center"/>
              <w:rPr>
                <w:color w:val="000000"/>
              </w:rPr>
            </w:pPr>
            <w:r>
              <w:rPr>
                <w:color w:val="000000"/>
                <w:kern w:val="0"/>
                <w:sz w:val="20"/>
              </w:rPr>
              <w:t>0.00%</w:t>
            </w:r>
          </w:p>
        </w:tc>
        <w:tc>
          <w:tcPr>
            <w:tcW w:w="552" w:type="pct"/>
            <w:tcBorders>
              <w:top w:val="single" w:color="4F81BD" w:sz="8" w:space="0"/>
              <w:left w:val="dotted" w:color="auto" w:sz="0" w:space="0"/>
              <w:bottom w:val="single" w:color="4F81BD" w:sz="8" w:space="0"/>
              <w:right w:val="single" w:color="4F81BD" w:sz="8" w:space="0"/>
            </w:tcBorders>
            <w:shd w:val="clear" w:color="auto" w:fill="E9EDF4"/>
            <w:vAlign w:val="center"/>
          </w:tcPr>
          <w:p>
            <w:pPr>
              <w:spacing w:before="120" w:after="120"/>
              <w:jc w:val="center"/>
              <w:textAlignment w:val="center"/>
              <w:rPr>
                <w:rFonts w:ascii="宋体" w:hAnsi="宋体"/>
                <w:color w:val="000000"/>
                <w:sz w:val="24"/>
                <w:szCs w:val="24"/>
              </w:rPr>
            </w:pPr>
            <w:r>
              <w:rPr>
                <w:color w:val="000000"/>
                <w:kern w:val="0"/>
                <w:sz w:val="20"/>
              </w:rPr>
              <w:t>-0.35%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6" w:type="pct"/>
            <w:tcBorders>
              <w:top w:val="single" w:color="4F81BD" w:sz="8" w:space="0"/>
              <w:left w:val="single" w:color="4F81BD" w:sz="8" w:space="0"/>
              <w:bottom w:val="single" w:color="4F81BD" w:sz="8" w:space="0"/>
              <w:right w:val="dotted" w:color="auto" w:sz="4" w:space="0"/>
            </w:tcBorders>
            <w:shd w:val="clear" w:color="auto" w:fill="FFFFFF"/>
            <w:vAlign w:val="center"/>
          </w:tcPr>
          <w:p>
            <w:pPr>
              <w:spacing w:before="120" w:after="120"/>
              <w:jc w:val="center"/>
              <w:rPr>
                <w:color w:val="000000"/>
                <w:szCs w:val="21"/>
              </w:rPr>
            </w:pPr>
            <w:r>
              <w:rPr>
                <w:rFonts w:hint="eastAsia"/>
                <w:color w:val="000000"/>
              </w:rPr>
              <w:t>Rank = 2</w:t>
            </w:r>
          </w:p>
        </w:tc>
        <w:tc>
          <w:tcPr>
            <w:tcW w:w="484" w:type="pct"/>
            <w:tcBorders>
              <w:top w:val="single" w:color="4F81BD" w:sz="8" w:space="0"/>
              <w:left w:val="dotted" w:color="auto" w:sz="0" w:space="0"/>
              <w:bottom w:val="single" w:color="4F81BD" w:sz="8" w:space="0"/>
              <w:right w:val="dotted" w:color="auto" w:sz="4" w:space="0"/>
            </w:tcBorders>
            <w:shd w:val="clear" w:color="auto" w:fill="FFFFFF"/>
            <w:vAlign w:val="center"/>
          </w:tcPr>
          <w:p>
            <w:pPr>
              <w:spacing w:before="120" w:after="120"/>
              <w:jc w:val="center"/>
              <w:textAlignment w:val="center"/>
              <w:rPr>
                <w:color w:val="000000"/>
              </w:rPr>
            </w:pPr>
            <w:r>
              <w:rPr>
                <w:color w:val="000000"/>
                <w:kern w:val="0"/>
                <w:sz w:val="20"/>
              </w:rPr>
              <w:t>0.</w:t>
            </w:r>
            <w:r>
              <w:rPr>
                <w:rFonts w:hint="eastAsia"/>
                <w:color w:val="000000"/>
                <w:kern w:val="0"/>
                <w:sz w:val="20"/>
              </w:rPr>
              <w:t>30</w:t>
            </w:r>
            <w:r>
              <w:rPr>
                <w:color w:val="000000"/>
                <w:kern w:val="0"/>
                <w:sz w:val="20"/>
              </w:rPr>
              <w:t>%</w:t>
            </w:r>
          </w:p>
        </w:tc>
        <w:tc>
          <w:tcPr>
            <w:tcW w:w="484" w:type="pct"/>
            <w:tcBorders>
              <w:top w:val="single" w:color="4F81BD" w:sz="8" w:space="0"/>
              <w:left w:val="dotted" w:color="auto" w:sz="0" w:space="0"/>
              <w:bottom w:val="single" w:color="4F81BD" w:sz="8" w:space="0"/>
              <w:right w:val="dotted" w:color="auto" w:sz="4" w:space="0"/>
            </w:tcBorders>
            <w:shd w:val="clear" w:color="auto" w:fill="FFFFFF"/>
            <w:vAlign w:val="center"/>
          </w:tcPr>
          <w:p>
            <w:pPr>
              <w:spacing w:before="120" w:after="120"/>
              <w:jc w:val="center"/>
              <w:textAlignment w:val="center"/>
              <w:rPr>
                <w:color w:val="000000"/>
              </w:rPr>
            </w:pPr>
            <w:r>
              <w:rPr>
                <w:color w:val="000000"/>
                <w:kern w:val="0"/>
                <w:sz w:val="20"/>
              </w:rPr>
              <w:t>-0.</w:t>
            </w:r>
            <w:r>
              <w:rPr>
                <w:rFonts w:hint="eastAsia"/>
                <w:color w:val="000000"/>
                <w:kern w:val="0"/>
                <w:sz w:val="20"/>
              </w:rPr>
              <w:t>56</w:t>
            </w:r>
            <w:r>
              <w:rPr>
                <w:color w:val="000000"/>
                <w:kern w:val="0"/>
                <w:sz w:val="20"/>
              </w:rPr>
              <w:t>%</w:t>
            </w:r>
          </w:p>
        </w:tc>
        <w:tc>
          <w:tcPr>
            <w:tcW w:w="484" w:type="pct"/>
            <w:tcBorders>
              <w:top w:val="single" w:color="4F81BD" w:sz="8" w:space="0"/>
              <w:left w:val="dotted" w:color="auto" w:sz="0" w:space="0"/>
              <w:bottom w:val="single" w:color="4F81BD" w:sz="8" w:space="0"/>
              <w:right w:val="dotted" w:color="auto" w:sz="4" w:space="0"/>
            </w:tcBorders>
            <w:shd w:val="clear" w:color="auto" w:fill="FFFFFF"/>
            <w:vAlign w:val="center"/>
          </w:tcPr>
          <w:p>
            <w:pPr>
              <w:spacing w:before="120" w:after="120"/>
              <w:jc w:val="center"/>
              <w:textAlignment w:val="center"/>
              <w:rPr>
                <w:color w:val="000000"/>
              </w:rPr>
            </w:pPr>
            <w:r>
              <w:rPr>
                <w:color w:val="000000"/>
                <w:kern w:val="0"/>
                <w:sz w:val="20"/>
              </w:rPr>
              <w:t>-</w:t>
            </w:r>
            <w:r>
              <w:rPr>
                <w:rFonts w:hint="eastAsia"/>
                <w:color w:val="000000"/>
                <w:kern w:val="0"/>
                <w:sz w:val="20"/>
              </w:rPr>
              <w:t>0.98</w:t>
            </w:r>
            <w:r>
              <w:rPr>
                <w:color w:val="000000"/>
                <w:kern w:val="0"/>
                <w:sz w:val="20"/>
              </w:rPr>
              <w:t>%</w:t>
            </w:r>
          </w:p>
        </w:tc>
        <w:tc>
          <w:tcPr>
            <w:tcW w:w="484" w:type="pct"/>
            <w:tcBorders>
              <w:top w:val="single" w:color="4F81BD" w:sz="8" w:space="0"/>
              <w:left w:val="dotted" w:color="auto" w:sz="0" w:space="0"/>
              <w:bottom w:val="single" w:color="4F81BD" w:sz="8" w:space="0"/>
              <w:right w:val="dotted" w:color="auto" w:sz="4" w:space="0"/>
            </w:tcBorders>
            <w:shd w:val="clear" w:color="auto" w:fill="FFFFFF"/>
            <w:vAlign w:val="center"/>
          </w:tcPr>
          <w:p>
            <w:pPr>
              <w:spacing w:before="120" w:after="120"/>
              <w:jc w:val="center"/>
              <w:textAlignment w:val="center"/>
              <w:rPr>
                <w:color w:val="000000"/>
              </w:rPr>
            </w:pPr>
            <w:r>
              <w:rPr>
                <w:rFonts w:hint="eastAsia"/>
                <w:color w:val="000000"/>
                <w:kern w:val="0"/>
                <w:sz w:val="20"/>
              </w:rPr>
              <w:t>0.42</w:t>
            </w:r>
            <w:r>
              <w:rPr>
                <w:color w:val="000000"/>
                <w:kern w:val="0"/>
                <w:sz w:val="20"/>
              </w:rPr>
              <w:t>%</w:t>
            </w:r>
          </w:p>
        </w:tc>
        <w:tc>
          <w:tcPr>
            <w:tcW w:w="484" w:type="pct"/>
            <w:tcBorders>
              <w:top w:val="single" w:color="4F81BD" w:sz="8" w:space="0"/>
              <w:left w:val="dotted" w:color="auto" w:sz="0" w:space="0"/>
              <w:bottom w:val="single" w:color="4F81BD" w:sz="8" w:space="0"/>
              <w:right w:val="dotted" w:color="auto" w:sz="4" w:space="0"/>
            </w:tcBorders>
            <w:shd w:val="clear" w:color="auto" w:fill="FFFFFF"/>
            <w:vAlign w:val="center"/>
          </w:tcPr>
          <w:p>
            <w:pPr>
              <w:spacing w:before="120" w:after="120"/>
              <w:jc w:val="center"/>
              <w:textAlignment w:val="center"/>
              <w:rPr>
                <w:color w:val="000000"/>
              </w:rPr>
            </w:pPr>
            <w:r>
              <w:rPr>
                <w:color w:val="000000"/>
                <w:kern w:val="0"/>
                <w:sz w:val="20"/>
              </w:rPr>
              <w:t>-0.</w:t>
            </w:r>
            <w:r>
              <w:rPr>
                <w:rFonts w:hint="eastAsia"/>
                <w:color w:val="000000"/>
                <w:kern w:val="0"/>
                <w:sz w:val="20"/>
              </w:rPr>
              <w:t>71</w:t>
            </w:r>
            <w:r>
              <w:rPr>
                <w:color w:val="000000"/>
                <w:kern w:val="0"/>
                <w:sz w:val="20"/>
              </w:rPr>
              <w:t>%</w:t>
            </w:r>
          </w:p>
        </w:tc>
        <w:tc>
          <w:tcPr>
            <w:tcW w:w="484" w:type="pct"/>
            <w:tcBorders>
              <w:top w:val="single" w:color="4F81BD" w:sz="8" w:space="0"/>
              <w:left w:val="dotted" w:color="auto" w:sz="0" w:space="0"/>
              <w:bottom w:val="single" w:color="4F81BD" w:sz="8" w:space="0"/>
              <w:right w:val="dotted" w:color="auto" w:sz="4" w:space="0"/>
            </w:tcBorders>
            <w:shd w:val="clear" w:color="auto" w:fill="FFFFFF"/>
            <w:vAlign w:val="center"/>
          </w:tcPr>
          <w:p>
            <w:pPr>
              <w:spacing w:before="120" w:after="120"/>
              <w:jc w:val="center"/>
              <w:textAlignment w:val="center"/>
              <w:rPr>
                <w:color w:val="000000"/>
              </w:rPr>
            </w:pPr>
            <w:r>
              <w:rPr>
                <w:color w:val="000000"/>
                <w:kern w:val="0"/>
                <w:sz w:val="20"/>
              </w:rPr>
              <w:t>-0.</w:t>
            </w:r>
            <w:r>
              <w:rPr>
                <w:rFonts w:hint="eastAsia"/>
                <w:color w:val="000000"/>
                <w:kern w:val="0"/>
                <w:sz w:val="20"/>
              </w:rPr>
              <w:t>10</w:t>
            </w:r>
            <w:r>
              <w:rPr>
                <w:color w:val="000000"/>
                <w:kern w:val="0"/>
                <w:sz w:val="20"/>
              </w:rPr>
              <w:t>%</w:t>
            </w:r>
          </w:p>
        </w:tc>
        <w:tc>
          <w:tcPr>
            <w:tcW w:w="484" w:type="pct"/>
            <w:tcBorders>
              <w:top w:val="single" w:color="4F81BD" w:sz="8" w:space="0"/>
              <w:left w:val="dotted" w:color="auto" w:sz="0" w:space="0"/>
              <w:bottom w:val="single" w:color="4F81BD" w:sz="8" w:space="0"/>
              <w:right w:val="dotted" w:color="auto" w:sz="4" w:space="0"/>
            </w:tcBorders>
            <w:shd w:val="clear" w:color="auto" w:fill="FFFFFF"/>
            <w:vAlign w:val="center"/>
          </w:tcPr>
          <w:p>
            <w:pPr>
              <w:spacing w:before="120" w:after="120"/>
              <w:jc w:val="center"/>
              <w:textAlignment w:val="center"/>
              <w:rPr>
                <w:color w:val="000000"/>
              </w:rPr>
            </w:pPr>
            <w:r>
              <w:rPr>
                <w:color w:val="000000"/>
                <w:kern w:val="0"/>
                <w:sz w:val="20"/>
              </w:rPr>
              <w:t>0.0</w:t>
            </w:r>
            <w:r>
              <w:rPr>
                <w:rFonts w:hint="eastAsia"/>
                <w:color w:val="000000"/>
                <w:kern w:val="0"/>
                <w:sz w:val="20"/>
              </w:rPr>
              <w:t>0</w:t>
            </w:r>
            <w:r>
              <w:rPr>
                <w:color w:val="000000"/>
                <w:kern w:val="0"/>
                <w:sz w:val="20"/>
              </w:rPr>
              <w:t>%</w:t>
            </w:r>
          </w:p>
        </w:tc>
        <w:tc>
          <w:tcPr>
            <w:tcW w:w="552" w:type="pct"/>
            <w:tcBorders>
              <w:top w:val="single" w:color="4F81BD" w:sz="8" w:space="0"/>
              <w:left w:val="dotted" w:color="auto" w:sz="0" w:space="0"/>
              <w:bottom w:val="single" w:color="4F81BD" w:sz="8" w:space="0"/>
              <w:right w:val="single" w:color="4F81BD" w:sz="8" w:space="0"/>
            </w:tcBorders>
            <w:shd w:val="clear" w:color="auto" w:fill="FFFFFF"/>
            <w:vAlign w:val="center"/>
          </w:tcPr>
          <w:p>
            <w:pPr>
              <w:spacing w:before="120" w:after="120"/>
              <w:jc w:val="center"/>
              <w:textAlignment w:val="center"/>
              <w:rPr>
                <w:rFonts w:ascii="宋体" w:hAnsi="宋体"/>
                <w:color w:val="000000"/>
                <w:sz w:val="24"/>
                <w:szCs w:val="24"/>
              </w:rPr>
            </w:pPr>
            <w:r>
              <w:rPr>
                <w:color w:val="000000"/>
                <w:kern w:val="0"/>
                <w:sz w:val="20"/>
              </w:rPr>
              <w:t>-0.</w:t>
            </w:r>
            <w:r>
              <w:rPr>
                <w:rFonts w:hint="eastAsia"/>
                <w:color w:val="000000"/>
                <w:kern w:val="0"/>
                <w:sz w:val="20"/>
              </w:rPr>
              <w:t>2</w:t>
            </w:r>
            <w:r>
              <w:rPr>
                <w:color w:val="000000"/>
                <w:kern w:val="0"/>
                <w:sz w:val="2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6" w:type="pct"/>
            <w:tcBorders>
              <w:top w:val="single" w:color="4F81BD" w:sz="8" w:space="0"/>
              <w:left w:val="single" w:color="4F81BD" w:sz="8" w:space="0"/>
              <w:bottom w:val="single" w:color="4F81BD" w:sz="8" w:space="0"/>
              <w:right w:val="dotted" w:color="auto" w:sz="4" w:space="0"/>
            </w:tcBorders>
            <w:shd w:val="clear" w:color="auto" w:fill="E9EDF4"/>
            <w:vAlign w:val="center"/>
          </w:tcPr>
          <w:p>
            <w:pPr>
              <w:spacing w:before="120" w:after="120"/>
              <w:jc w:val="center"/>
              <w:rPr>
                <w:color w:val="000000"/>
                <w:szCs w:val="21"/>
              </w:rPr>
            </w:pPr>
            <w:r>
              <w:rPr>
                <w:rFonts w:hint="eastAsia"/>
                <w:color w:val="000000"/>
              </w:rPr>
              <w:t>Rank = 3</w:t>
            </w:r>
          </w:p>
        </w:tc>
        <w:tc>
          <w:tcPr>
            <w:tcW w:w="484" w:type="pct"/>
            <w:tcBorders>
              <w:top w:val="single" w:color="4F81BD" w:sz="8" w:space="0"/>
              <w:left w:val="dotted" w:color="auto" w:sz="0" w:space="0"/>
              <w:bottom w:val="single" w:color="4F81BD" w:sz="8" w:space="0"/>
              <w:right w:val="dotted" w:color="auto" w:sz="4" w:space="0"/>
            </w:tcBorders>
            <w:shd w:val="clear" w:color="auto" w:fill="E9EDF4"/>
            <w:vAlign w:val="center"/>
          </w:tcPr>
          <w:p>
            <w:pPr>
              <w:spacing w:before="120" w:after="120"/>
              <w:jc w:val="center"/>
              <w:textAlignment w:val="center"/>
              <w:rPr>
                <w:color w:val="000000"/>
              </w:rPr>
            </w:pPr>
            <w:r>
              <w:rPr>
                <w:rFonts w:hint="eastAsia"/>
                <w:color w:val="000000"/>
                <w:kern w:val="0"/>
                <w:sz w:val="20"/>
              </w:rPr>
              <w:t>0.41</w:t>
            </w:r>
            <w:r>
              <w:rPr>
                <w:color w:val="000000"/>
                <w:kern w:val="0"/>
                <w:sz w:val="20"/>
              </w:rPr>
              <w:t>%</w:t>
            </w:r>
          </w:p>
        </w:tc>
        <w:tc>
          <w:tcPr>
            <w:tcW w:w="484" w:type="pct"/>
            <w:tcBorders>
              <w:top w:val="single" w:color="4F81BD" w:sz="8" w:space="0"/>
              <w:left w:val="dotted" w:color="auto" w:sz="0" w:space="0"/>
              <w:bottom w:val="single" w:color="4F81BD" w:sz="8" w:space="0"/>
              <w:right w:val="dotted" w:color="auto" w:sz="4" w:space="0"/>
            </w:tcBorders>
            <w:shd w:val="clear" w:color="auto" w:fill="E9EDF4"/>
            <w:vAlign w:val="center"/>
          </w:tcPr>
          <w:p>
            <w:pPr>
              <w:spacing w:before="120" w:after="120"/>
              <w:jc w:val="center"/>
              <w:textAlignment w:val="center"/>
              <w:rPr>
                <w:color w:val="000000"/>
              </w:rPr>
            </w:pPr>
            <w:r>
              <w:rPr>
                <w:color w:val="000000"/>
                <w:kern w:val="0"/>
                <w:sz w:val="20"/>
              </w:rPr>
              <w:t>-0.</w:t>
            </w:r>
            <w:r>
              <w:rPr>
                <w:rFonts w:hint="eastAsia"/>
                <w:color w:val="000000"/>
                <w:kern w:val="0"/>
                <w:sz w:val="20"/>
              </w:rPr>
              <w:t>46</w:t>
            </w:r>
            <w:r>
              <w:rPr>
                <w:color w:val="000000"/>
                <w:kern w:val="0"/>
                <w:sz w:val="20"/>
              </w:rPr>
              <w:t>%</w:t>
            </w:r>
          </w:p>
        </w:tc>
        <w:tc>
          <w:tcPr>
            <w:tcW w:w="484" w:type="pct"/>
            <w:tcBorders>
              <w:top w:val="single" w:color="4F81BD" w:sz="8" w:space="0"/>
              <w:left w:val="dotted" w:color="auto" w:sz="0" w:space="0"/>
              <w:bottom w:val="single" w:color="4F81BD" w:sz="8" w:space="0"/>
              <w:right w:val="dotted" w:color="auto" w:sz="4" w:space="0"/>
            </w:tcBorders>
            <w:shd w:val="clear" w:color="auto" w:fill="E9EDF4"/>
            <w:vAlign w:val="center"/>
          </w:tcPr>
          <w:p>
            <w:pPr>
              <w:spacing w:before="120" w:after="120"/>
              <w:jc w:val="center"/>
              <w:textAlignment w:val="center"/>
              <w:rPr>
                <w:color w:val="000000"/>
              </w:rPr>
            </w:pPr>
            <w:r>
              <w:rPr>
                <w:color w:val="000000"/>
                <w:kern w:val="0"/>
                <w:sz w:val="20"/>
              </w:rPr>
              <w:t>-2.</w:t>
            </w:r>
            <w:r>
              <w:rPr>
                <w:rFonts w:hint="eastAsia"/>
                <w:color w:val="000000"/>
                <w:kern w:val="0"/>
                <w:sz w:val="20"/>
              </w:rPr>
              <w:t>80</w:t>
            </w:r>
            <w:r>
              <w:rPr>
                <w:color w:val="000000"/>
                <w:kern w:val="0"/>
                <w:sz w:val="20"/>
              </w:rPr>
              <w:t>%</w:t>
            </w:r>
          </w:p>
        </w:tc>
        <w:tc>
          <w:tcPr>
            <w:tcW w:w="484" w:type="pct"/>
            <w:tcBorders>
              <w:top w:val="single" w:color="4F81BD" w:sz="8" w:space="0"/>
              <w:left w:val="dotted" w:color="auto" w:sz="0" w:space="0"/>
              <w:bottom w:val="single" w:color="4F81BD" w:sz="8" w:space="0"/>
              <w:right w:val="dotted" w:color="auto" w:sz="4" w:space="0"/>
            </w:tcBorders>
            <w:shd w:val="clear" w:color="auto" w:fill="E9EDF4"/>
            <w:vAlign w:val="center"/>
          </w:tcPr>
          <w:p>
            <w:pPr>
              <w:spacing w:before="120" w:after="120"/>
              <w:jc w:val="center"/>
              <w:textAlignment w:val="center"/>
              <w:rPr>
                <w:color w:val="000000"/>
              </w:rPr>
            </w:pPr>
            <w:r>
              <w:rPr>
                <w:color w:val="000000"/>
                <w:kern w:val="0"/>
                <w:sz w:val="20"/>
              </w:rPr>
              <w:t>-1.</w:t>
            </w:r>
            <w:r>
              <w:rPr>
                <w:rFonts w:hint="eastAsia"/>
                <w:color w:val="000000"/>
                <w:kern w:val="0"/>
                <w:sz w:val="20"/>
              </w:rPr>
              <w:t>10</w:t>
            </w:r>
            <w:r>
              <w:rPr>
                <w:color w:val="000000"/>
                <w:kern w:val="0"/>
                <w:sz w:val="20"/>
              </w:rPr>
              <w:t>%</w:t>
            </w:r>
          </w:p>
        </w:tc>
        <w:tc>
          <w:tcPr>
            <w:tcW w:w="484" w:type="pct"/>
            <w:tcBorders>
              <w:top w:val="single" w:color="4F81BD" w:sz="8" w:space="0"/>
              <w:left w:val="dotted" w:color="auto" w:sz="0" w:space="0"/>
              <w:bottom w:val="single" w:color="4F81BD" w:sz="8" w:space="0"/>
              <w:right w:val="dotted" w:color="auto" w:sz="4" w:space="0"/>
            </w:tcBorders>
            <w:shd w:val="clear" w:color="auto" w:fill="E9EDF4"/>
            <w:vAlign w:val="center"/>
          </w:tcPr>
          <w:p>
            <w:pPr>
              <w:spacing w:before="120" w:after="120"/>
              <w:jc w:val="center"/>
              <w:textAlignment w:val="center"/>
              <w:rPr>
                <w:color w:val="000000"/>
              </w:rPr>
            </w:pPr>
            <w:r>
              <w:rPr>
                <w:color w:val="000000"/>
                <w:kern w:val="0"/>
                <w:sz w:val="20"/>
              </w:rPr>
              <w:t>-1.</w:t>
            </w:r>
            <w:r>
              <w:rPr>
                <w:rFonts w:hint="eastAsia"/>
                <w:color w:val="000000"/>
                <w:kern w:val="0"/>
                <w:sz w:val="20"/>
              </w:rPr>
              <w:t>37</w:t>
            </w:r>
            <w:r>
              <w:rPr>
                <w:color w:val="000000"/>
                <w:kern w:val="0"/>
                <w:sz w:val="20"/>
              </w:rPr>
              <w:t>%</w:t>
            </w:r>
          </w:p>
        </w:tc>
        <w:tc>
          <w:tcPr>
            <w:tcW w:w="484" w:type="pct"/>
            <w:tcBorders>
              <w:top w:val="single" w:color="4F81BD" w:sz="8" w:space="0"/>
              <w:left w:val="dotted" w:color="auto" w:sz="0" w:space="0"/>
              <w:bottom w:val="single" w:color="4F81BD" w:sz="8" w:space="0"/>
              <w:right w:val="dotted" w:color="auto" w:sz="4" w:space="0"/>
            </w:tcBorders>
            <w:shd w:val="clear" w:color="auto" w:fill="E9EDF4"/>
            <w:vAlign w:val="center"/>
          </w:tcPr>
          <w:p>
            <w:pPr>
              <w:spacing w:before="120" w:after="120"/>
              <w:jc w:val="center"/>
              <w:textAlignment w:val="center"/>
              <w:rPr>
                <w:color w:val="000000"/>
              </w:rPr>
            </w:pPr>
            <w:r>
              <w:rPr>
                <w:color w:val="000000"/>
                <w:kern w:val="0"/>
                <w:sz w:val="20"/>
              </w:rPr>
              <w:t>-</w:t>
            </w:r>
            <w:r>
              <w:rPr>
                <w:rFonts w:hint="eastAsia"/>
                <w:color w:val="000000"/>
                <w:kern w:val="0"/>
                <w:sz w:val="20"/>
              </w:rPr>
              <w:t>4</w:t>
            </w:r>
            <w:r>
              <w:rPr>
                <w:color w:val="000000"/>
                <w:kern w:val="0"/>
                <w:sz w:val="20"/>
              </w:rPr>
              <w:t>.</w:t>
            </w:r>
            <w:r>
              <w:rPr>
                <w:rFonts w:hint="eastAsia"/>
                <w:color w:val="000000"/>
                <w:kern w:val="0"/>
                <w:sz w:val="20"/>
              </w:rPr>
              <w:t>19</w:t>
            </w:r>
            <w:r>
              <w:rPr>
                <w:color w:val="000000"/>
                <w:kern w:val="0"/>
                <w:sz w:val="20"/>
              </w:rPr>
              <w:t>%</w:t>
            </w:r>
          </w:p>
        </w:tc>
        <w:tc>
          <w:tcPr>
            <w:tcW w:w="484" w:type="pct"/>
            <w:tcBorders>
              <w:top w:val="single" w:color="4F81BD" w:sz="8" w:space="0"/>
              <w:left w:val="dotted" w:color="auto" w:sz="0" w:space="0"/>
              <w:bottom w:val="single" w:color="4F81BD" w:sz="8" w:space="0"/>
              <w:right w:val="dotted" w:color="auto" w:sz="4" w:space="0"/>
            </w:tcBorders>
            <w:shd w:val="clear" w:color="auto" w:fill="E9EDF4"/>
            <w:vAlign w:val="center"/>
          </w:tcPr>
          <w:p>
            <w:pPr>
              <w:spacing w:before="120" w:after="120"/>
              <w:jc w:val="center"/>
              <w:textAlignment w:val="center"/>
              <w:rPr>
                <w:color w:val="000000"/>
              </w:rPr>
            </w:pPr>
            <w:r>
              <w:rPr>
                <w:color w:val="000000"/>
                <w:kern w:val="0"/>
                <w:sz w:val="20"/>
              </w:rPr>
              <w:t>-</w:t>
            </w:r>
            <w:r>
              <w:rPr>
                <w:rFonts w:hint="eastAsia"/>
                <w:color w:val="000000"/>
                <w:kern w:val="0"/>
                <w:sz w:val="20"/>
              </w:rPr>
              <w:t>1.88</w:t>
            </w:r>
            <w:r>
              <w:rPr>
                <w:color w:val="000000"/>
                <w:kern w:val="0"/>
                <w:sz w:val="20"/>
              </w:rPr>
              <w:t>%</w:t>
            </w:r>
          </w:p>
        </w:tc>
        <w:tc>
          <w:tcPr>
            <w:tcW w:w="552" w:type="pct"/>
            <w:tcBorders>
              <w:top w:val="single" w:color="4F81BD" w:sz="8" w:space="0"/>
              <w:left w:val="dotted" w:color="auto" w:sz="0" w:space="0"/>
              <w:bottom w:val="single" w:color="4F81BD" w:sz="8" w:space="0"/>
              <w:right w:val="single" w:color="4F81BD" w:sz="8" w:space="0"/>
            </w:tcBorders>
            <w:shd w:val="clear" w:color="auto" w:fill="E9EDF4"/>
            <w:vAlign w:val="center"/>
          </w:tcPr>
          <w:p>
            <w:pPr>
              <w:spacing w:before="120" w:after="120"/>
              <w:jc w:val="center"/>
              <w:textAlignment w:val="center"/>
              <w:rPr>
                <w:rFonts w:ascii="宋体" w:hAnsi="宋体"/>
                <w:color w:val="000000"/>
                <w:sz w:val="24"/>
                <w:szCs w:val="24"/>
              </w:rPr>
            </w:pPr>
            <w:r>
              <w:rPr>
                <w:color w:val="000000"/>
                <w:kern w:val="0"/>
                <w:sz w:val="20"/>
              </w:rPr>
              <w:t>-1.</w:t>
            </w:r>
            <w:r>
              <w:rPr>
                <w:rFonts w:hint="eastAsia"/>
                <w:color w:val="000000"/>
                <w:kern w:val="0"/>
                <w:sz w:val="20"/>
              </w:rPr>
              <w:t>63</w:t>
            </w:r>
            <w:r>
              <w:rPr>
                <w:color w:val="000000"/>
                <w:kern w:val="0"/>
                <w:sz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6" w:type="pct"/>
            <w:tcBorders>
              <w:top w:val="single" w:color="4F81BD" w:sz="8" w:space="0"/>
              <w:left w:val="single" w:color="4F81BD" w:sz="8" w:space="0"/>
              <w:bottom w:val="single" w:color="4F81BD" w:sz="8" w:space="0"/>
              <w:right w:val="dotted" w:color="auto" w:sz="4" w:space="0"/>
            </w:tcBorders>
            <w:shd w:val="clear" w:color="auto" w:fill="FFFFFF"/>
            <w:vAlign w:val="center"/>
          </w:tcPr>
          <w:p>
            <w:pPr>
              <w:spacing w:before="120" w:after="120"/>
              <w:jc w:val="center"/>
              <w:rPr>
                <w:color w:val="000000"/>
                <w:szCs w:val="21"/>
              </w:rPr>
            </w:pPr>
            <w:r>
              <w:rPr>
                <w:rFonts w:hint="eastAsia"/>
                <w:color w:val="000000"/>
              </w:rPr>
              <w:t>Rank = 4</w:t>
            </w:r>
          </w:p>
        </w:tc>
        <w:tc>
          <w:tcPr>
            <w:tcW w:w="484" w:type="pct"/>
            <w:tcBorders>
              <w:top w:val="single" w:color="4F81BD" w:sz="8" w:space="0"/>
              <w:left w:val="dotted" w:color="auto" w:sz="0" w:space="0"/>
              <w:bottom w:val="single" w:color="4F81BD" w:sz="8" w:space="0"/>
              <w:right w:val="dotted" w:color="auto" w:sz="4" w:space="0"/>
            </w:tcBorders>
            <w:shd w:val="clear" w:color="auto" w:fill="FFFFFF"/>
            <w:vAlign w:val="center"/>
          </w:tcPr>
          <w:p>
            <w:pPr>
              <w:spacing w:before="120" w:after="120"/>
              <w:jc w:val="center"/>
              <w:textAlignment w:val="center"/>
              <w:rPr>
                <w:color w:val="000000"/>
              </w:rPr>
            </w:pPr>
            <w:r>
              <w:rPr>
                <w:color w:val="000000"/>
                <w:kern w:val="0"/>
                <w:sz w:val="20"/>
              </w:rPr>
              <w:t>-0.</w:t>
            </w:r>
            <w:r>
              <w:rPr>
                <w:rFonts w:hint="eastAsia"/>
                <w:color w:val="000000"/>
                <w:kern w:val="0"/>
                <w:sz w:val="20"/>
              </w:rPr>
              <w:t>80</w:t>
            </w:r>
            <w:r>
              <w:rPr>
                <w:color w:val="000000"/>
                <w:kern w:val="0"/>
                <w:sz w:val="20"/>
              </w:rPr>
              <w:t>%</w:t>
            </w:r>
          </w:p>
        </w:tc>
        <w:tc>
          <w:tcPr>
            <w:tcW w:w="484" w:type="pct"/>
            <w:tcBorders>
              <w:top w:val="single" w:color="4F81BD" w:sz="8" w:space="0"/>
              <w:left w:val="dotted" w:color="auto" w:sz="0" w:space="0"/>
              <w:bottom w:val="single" w:color="4F81BD" w:sz="8" w:space="0"/>
              <w:right w:val="dotted" w:color="auto" w:sz="4" w:space="0"/>
            </w:tcBorders>
            <w:shd w:val="clear" w:color="auto" w:fill="FFFFFF"/>
            <w:vAlign w:val="center"/>
          </w:tcPr>
          <w:p>
            <w:pPr>
              <w:spacing w:before="120" w:after="120"/>
              <w:jc w:val="center"/>
              <w:textAlignment w:val="center"/>
              <w:rPr>
                <w:color w:val="000000"/>
              </w:rPr>
            </w:pPr>
            <w:r>
              <w:rPr>
                <w:color w:val="000000"/>
                <w:kern w:val="0"/>
                <w:sz w:val="20"/>
              </w:rPr>
              <w:t>-1.</w:t>
            </w:r>
            <w:r>
              <w:rPr>
                <w:rFonts w:hint="eastAsia"/>
                <w:color w:val="000000"/>
                <w:kern w:val="0"/>
                <w:sz w:val="20"/>
              </w:rPr>
              <w:t>39</w:t>
            </w:r>
            <w:r>
              <w:rPr>
                <w:color w:val="000000"/>
                <w:kern w:val="0"/>
                <w:sz w:val="20"/>
              </w:rPr>
              <w:t>%</w:t>
            </w:r>
          </w:p>
        </w:tc>
        <w:tc>
          <w:tcPr>
            <w:tcW w:w="484" w:type="pct"/>
            <w:tcBorders>
              <w:top w:val="single" w:color="4F81BD" w:sz="8" w:space="0"/>
              <w:left w:val="dotted" w:color="auto" w:sz="0" w:space="0"/>
              <w:bottom w:val="single" w:color="4F81BD" w:sz="8" w:space="0"/>
              <w:right w:val="dotted" w:color="auto" w:sz="4" w:space="0"/>
            </w:tcBorders>
            <w:shd w:val="clear" w:color="auto" w:fill="FFFFFF"/>
            <w:vAlign w:val="center"/>
          </w:tcPr>
          <w:p>
            <w:pPr>
              <w:spacing w:before="120" w:after="120"/>
              <w:jc w:val="center"/>
              <w:textAlignment w:val="center"/>
              <w:rPr>
                <w:color w:val="000000"/>
              </w:rPr>
            </w:pPr>
            <w:r>
              <w:rPr>
                <w:rFonts w:hint="eastAsia"/>
                <w:color w:val="000000"/>
                <w:kern w:val="0"/>
                <w:sz w:val="20"/>
              </w:rPr>
              <w:t>0.21</w:t>
            </w:r>
            <w:r>
              <w:rPr>
                <w:color w:val="000000"/>
                <w:kern w:val="0"/>
                <w:sz w:val="20"/>
              </w:rPr>
              <w:t>%</w:t>
            </w:r>
          </w:p>
        </w:tc>
        <w:tc>
          <w:tcPr>
            <w:tcW w:w="484" w:type="pct"/>
            <w:tcBorders>
              <w:top w:val="single" w:color="4F81BD" w:sz="8" w:space="0"/>
              <w:left w:val="dotted" w:color="auto" w:sz="0" w:space="0"/>
              <w:bottom w:val="single" w:color="4F81BD" w:sz="8" w:space="0"/>
              <w:right w:val="dotted" w:color="auto" w:sz="4" w:space="0"/>
            </w:tcBorders>
            <w:shd w:val="clear" w:color="auto" w:fill="FFFFFF"/>
            <w:vAlign w:val="center"/>
          </w:tcPr>
          <w:p>
            <w:pPr>
              <w:spacing w:before="120" w:after="120"/>
              <w:jc w:val="center"/>
              <w:textAlignment w:val="center"/>
              <w:rPr>
                <w:color w:val="000000"/>
              </w:rPr>
            </w:pPr>
            <w:r>
              <w:rPr>
                <w:color w:val="000000"/>
                <w:kern w:val="0"/>
                <w:sz w:val="20"/>
              </w:rPr>
              <w:t>-0.</w:t>
            </w:r>
            <w:r>
              <w:rPr>
                <w:rFonts w:hint="eastAsia"/>
                <w:color w:val="000000"/>
                <w:kern w:val="0"/>
                <w:sz w:val="20"/>
              </w:rPr>
              <w:t>96</w:t>
            </w:r>
            <w:r>
              <w:rPr>
                <w:color w:val="000000"/>
                <w:kern w:val="0"/>
                <w:sz w:val="20"/>
              </w:rPr>
              <w:t>%</w:t>
            </w:r>
          </w:p>
        </w:tc>
        <w:tc>
          <w:tcPr>
            <w:tcW w:w="484" w:type="pct"/>
            <w:tcBorders>
              <w:top w:val="single" w:color="4F81BD" w:sz="8" w:space="0"/>
              <w:left w:val="dotted" w:color="auto" w:sz="0" w:space="0"/>
              <w:bottom w:val="single" w:color="4F81BD" w:sz="8" w:space="0"/>
              <w:right w:val="dotted" w:color="auto" w:sz="4" w:space="0"/>
            </w:tcBorders>
            <w:shd w:val="clear" w:color="auto" w:fill="FFFFFF"/>
            <w:vAlign w:val="center"/>
          </w:tcPr>
          <w:p>
            <w:pPr>
              <w:spacing w:before="120" w:after="120"/>
              <w:jc w:val="center"/>
              <w:textAlignment w:val="center"/>
              <w:rPr>
                <w:color w:val="000000"/>
              </w:rPr>
            </w:pPr>
            <w:r>
              <w:rPr>
                <w:color w:val="000000"/>
                <w:kern w:val="0"/>
                <w:sz w:val="20"/>
              </w:rPr>
              <w:t>-2.</w:t>
            </w:r>
            <w:r>
              <w:rPr>
                <w:rFonts w:hint="eastAsia"/>
                <w:color w:val="000000"/>
                <w:kern w:val="0"/>
                <w:sz w:val="20"/>
              </w:rPr>
              <w:t>11</w:t>
            </w:r>
            <w:r>
              <w:rPr>
                <w:color w:val="000000"/>
                <w:kern w:val="0"/>
                <w:sz w:val="20"/>
              </w:rPr>
              <w:t>%</w:t>
            </w:r>
          </w:p>
        </w:tc>
        <w:tc>
          <w:tcPr>
            <w:tcW w:w="484" w:type="pct"/>
            <w:tcBorders>
              <w:top w:val="single" w:color="4F81BD" w:sz="8" w:space="0"/>
              <w:left w:val="dotted" w:color="auto" w:sz="0" w:space="0"/>
              <w:bottom w:val="single" w:color="4F81BD" w:sz="8" w:space="0"/>
              <w:right w:val="dotted" w:color="auto" w:sz="4" w:space="0"/>
            </w:tcBorders>
            <w:shd w:val="clear" w:color="auto" w:fill="FFFFFF"/>
            <w:vAlign w:val="center"/>
          </w:tcPr>
          <w:p>
            <w:pPr>
              <w:spacing w:before="120" w:after="120"/>
              <w:jc w:val="center"/>
              <w:textAlignment w:val="center"/>
              <w:rPr>
                <w:color w:val="000000"/>
              </w:rPr>
            </w:pPr>
            <w:r>
              <w:rPr>
                <w:color w:val="000000"/>
                <w:kern w:val="0"/>
                <w:sz w:val="20"/>
              </w:rPr>
              <w:t>-1.</w:t>
            </w:r>
            <w:r>
              <w:rPr>
                <w:rFonts w:hint="eastAsia"/>
                <w:color w:val="000000"/>
                <w:kern w:val="0"/>
                <w:sz w:val="20"/>
              </w:rPr>
              <w:t>98</w:t>
            </w:r>
            <w:r>
              <w:rPr>
                <w:color w:val="000000"/>
                <w:kern w:val="0"/>
                <w:sz w:val="20"/>
              </w:rPr>
              <w:t>%</w:t>
            </w:r>
          </w:p>
        </w:tc>
        <w:tc>
          <w:tcPr>
            <w:tcW w:w="484" w:type="pct"/>
            <w:tcBorders>
              <w:top w:val="single" w:color="4F81BD" w:sz="8" w:space="0"/>
              <w:left w:val="dotted" w:color="auto" w:sz="0" w:space="0"/>
              <w:bottom w:val="single" w:color="4F81BD" w:sz="8" w:space="0"/>
              <w:right w:val="dotted" w:color="auto" w:sz="4" w:space="0"/>
            </w:tcBorders>
            <w:shd w:val="clear" w:color="auto" w:fill="FFFFFF"/>
            <w:vAlign w:val="center"/>
          </w:tcPr>
          <w:p>
            <w:pPr>
              <w:spacing w:before="120" w:after="120"/>
              <w:jc w:val="center"/>
              <w:textAlignment w:val="center"/>
              <w:rPr>
                <w:color w:val="000000"/>
              </w:rPr>
            </w:pPr>
            <w:r>
              <w:rPr>
                <w:color w:val="000000"/>
                <w:kern w:val="0"/>
                <w:sz w:val="20"/>
              </w:rPr>
              <w:t>-</w:t>
            </w:r>
            <w:r>
              <w:rPr>
                <w:rFonts w:hint="eastAsia"/>
                <w:color w:val="000000"/>
                <w:kern w:val="0"/>
                <w:sz w:val="20"/>
              </w:rPr>
              <w:t>5.49</w:t>
            </w:r>
            <w:r>
              <w:rPr>
                <w:color w:val="000000"/>
                <w:kern w:val="0"/>
                <w:sz w:val="20"/>
              </w:rPr>
              <w:t>%</w:t>
            </w:r>
          </w:p>
        </w:tc>
        <w:tc>
          <w:tcPr>
            <w:tcW w:w="552" w:type="pct"/>
            <w:tcBorders>
              <w:top w:val="single" w:color="4F81BD" w:sz="8" w:space="0"/>
              <w:left w:val="dotted" w:color="auto" w:sz="0" w:space="0"/>
              <w:bottom w:val="single" w:color="4F81BD" w:sz="8" w:space="0"/>
              <w:right w:val="single" w:color="4F81BD" w:sz="8" w:space="0"/>
            </w:tcBorders>
            <w:shd w:val="clear" w:color="auto" w:fill="FFFFFF"/>
            <w:vAlign w:val="center"/>
          </w:tcPr>
          <w:p>
            <w:pPr>
              <w:spacing w:before="120" w:after="120"/>
              <w:jc w:val="center"/>
              <w:textAlignment w:val="center"/>
              <w:rPr>
                <w:rFonts w:ascii="宋体" w:hAnsi="宋体"/>
                <w:color w:val="000000"/>
              </w:rPr>
            </w:pPr>
            <w:r>
              <w:rPr>
                <w:color w:val="000000"/>
                <w:kern w:val="0"/>
                <w:sz w:val="20"/>
              </w:rPr>
              <w:t>-1.7</w:t>
            </w:r>
            <w:r>
              <w:rPr>
                <w:rFonts w:hint="eastAsia"/>
                <w:color w:val="000000"/>
                <w:kern w:val="0"/>
                <w:sz w:val="20"/>
              </w:rPr>
              <w:t>9</w:t>
            </w:r>
            <w:r>
              <w:rPr>
                <w:color w:val="000000"/>
                <w:kern w:val="0"/>
                <w:sz w:val="20"/>
              </w:rPr>
              <w:t>%</w:t>
            </w:r>
          </w:p>
        </w:tc>
      </w:tr>
    </w:tbl>
    <w:p>
      <w:pPr>
        <w:spacing w:before="120" w:after="120"/>
      </w:pPr>
    </w:p>
    <w:p>
      <w:pPr>
        <w:spacing w:before="120" w:after="120"/>
      </w:pPr>
      <w:r>
        <w:rPr>
          <w:rFonts w:hint="eastAsia"/>
        </w:rPr>
        <w:t>According to the simulation results</w:t>
      </w:r>
      <w:r>
        <w:t xml:space="preserve"> in the case of fixed rank</w:t>
      </w:r>
      <w:r>
        <w:rPr>
          <w:rFonts w:hint="eastAsia"/>
        </w:rPr>
        <w:t xml:space="preserve">, </w:t>
      </w:r>
      <w:r>
        <w:t xml:space="preserve">it can be seen that </w:t>
      </w:r>
      <w:r>
        <w:rPr>
          <w:rFonts w:hint="eastAsia"/>
        </w:rPr>
        <w:t>the</w:t>
      </w:r>
      <w:r>
        <w:t xml:space="preserve"> average</w:t>
      </w:r>
      <w:r>
        <w:rPr>
          <w:rFonts w:hint="eastAsia"/>
        </w:rPr>
        <w:t xml:space="preserve"> throughput</w:t>
      </w:r>
      <w:r>
        <w:t xml:space="preserve"> loss</w:t>
      </w:r>
      <w:r>
        <w:rPr>
          <w:rFonts w:hint="eastAsia"/>
        </w:rPr>
        <w:t xml:space="preserve"> of </w:t>
      </w:r>
      <w:r>
        <w:t xml:space="preserve">derived precoding </w:t>
      </w:r>
      <w:r>
        <w:rPr>
          <w:rFonts w:hint="eastAsia"/>
        </w:rPr>
        <w:t xml:space="preserve">matrices </w:t>
      </w:r>
      <w:r>
        <w:t>by a precoding matrix with a larger port number</w:t>
      </w:r>
      <w:r>
        <w:rPr>
          <w:rFonts w:hint="eastAsia"/>
        </w:rPr>
        <w:t xml:space="preserve"> </w:t>
      </w:r>
      <w:r>
        <w:t xml:space="preserve">is less than </w:t>
      </w:r>
      <w:r>
        <w:rPr>
          <w:rFonts w:hint="eastAsia"/>
        </w:rPr>
        <w:t>3</w:t>
      </w:r>
      <w:r>
        <w:t xml:space="preserve">% relative to that of </w:t>
      </w:r>
      <w:r>
        <w:rPr>
          <w:rFonts w:hint="eastAsia"/>
        </w:rPr>
        <w:t xml:space="preserve">using </w:t>
      </w:r>
      <w:r>
        <w:t>real precoding matrix, i.e., the</w:t>
      </w:r>
      <w:r>
        <w:rPr>
          <w:rFonts w:hint="eastAsia"/>
        </w:rPr>
        <w:t xml:space="preserve"> throughput</w:t>
      </w:r>
      <w:r>
        <w:t xml:space="preserve"> performance of </w:t>
      </w:r>
      <w:r>
        <w:rPr>
          <w:rFonts w:hint="eastAsia"/>
        </w:rPr>
        <w:t xml:space="preserve">using </w:t>
      </w:r>
      <w:r>
        <w:t xml:space="preserve">a derived precoding matrix and real precoding matrix </w:t>
      </w:r>
      <w:r>
        <w:rPr>
          <w:rFonts w:hint="eastAsia"/>
        </w:rPr>
        <w:t>is nearly</w:t>
      </w:r>
      <w:r>
        <w:t xml:space="preserve"> the</w:t>
      </w:r>
      <w:r>
        <w:rPr>
          <w:rFonts w:hint="eastAsia"/>
        </w:rPr>
        <w:t xml:space="preserve"> same.</w:t>
      </w:r>
    </w:p>
    <w:p>
      <w:pPr>
        <w:pStyle w:val="30"/>
        <w:spacing w:before="120" w:after="120"/>
        <w:rPr>
          <w:lang w:val="en-US" w:eastAsia="zh-CN"/>
        </w:rPr>
      </w:pPr>
      <w:bookmarkStart w:id="57" w:name="_Toc6679"/>
      <w:bookmarkStart w:id="58" w:name="_Toc5304"/>
      <w:bookmarkStart w:id="59" w:name="_Toc3846"/>
      <w:r>
        <w:t>The</w:t>
      </w:r>
      <w:r>
        <w:rPr>
          <w:rFonts w:hint="eastAsia"/>
        </w:rPr>
        <w:t xml:space="preserve"> throughput</w:t>
      </w:r>
      <w:r>
        <w:t xml:space="preserve"> performance of </w:t>
      </w:r>
      <w:r>
        <w:rPr>
          <w:rFonts w:hint="eastAsia"/>
          <w:lang w:val="en-US" w:eastAsia="zh-CN"/>
        </w:rPr>
        <w:t>using a derived precoding matrix</w:t>
      </w:r>
      <w:r>
        <w:t xml:space="preserve"> and </w:t>
      </w:r>
      <w:r>
        <w:rPr>
          <w:rFonts w:hint="eastAsia"/>
          <w:lang w:val="en-US" w:eastAsia="zh-CN"/>
        </w:rPr>
        <w:t xml:space="preserve">using a real precoding matrix </w:t>
      </w:r>
      <w:r>
        <w:rPr>
          <w:rFonts w:hint="eastAsia"/>
        </w:rPr>
        <w:t>is nearly</w:t>
      </w:r>
      <w:r>
        <w:t xml:space="preserve"> the</w:t>
      </w:r>
      <w:r>
        <w:rPr>
          <w:rFonts w:hint="eastAsia"/>
        </w:rPr>
        <w:t xml:space="preserve"> same</w:t>
      </w:r>
      <w:r>
        <w:rPr>
          <w:rFonts w:hint="eastAsia"/>
          <w:lang w:val="en-US" w:eastAsia="zh-CN"/>
        </w:rPr>
        <w:t xml:space="preserve"> if rank is fixed</w:t>
      </w:r>
      <w:r>
        <w:t>.</w:t>
      </w:r>
      <w:bookmarkEnd w:id="57"/>
      <w:bookmarkEnd w:id="58"/>
      <w:bookmarkEnd w:id="59"/>
    </w:p>
    <w:p>
      <w:pPr>
        <w:numPr>
          <w:ilvl w:val="0"/>
          <w:numId w:val="22"/>
        </w:numPr>
        <w:spacing w:before="120" w:after="120"/>
        <w:rPr>
          <w:b/>
          <w:bCs/>
        </w:rPr>
      </w:pPr>
      <w:r>
        <w:rPr>
          <w:b/>
          <w:bCs/>
        </w:rPr>
        <w:t>Flexible</w:t>
      </w:r>
      <w:r>
        <w:rPr>
          <w:rFonts w:hint="eastAsia"/>
          <w:b/>
          <w:bCs/>
        </w:rPr>
        <w:t xml:space="preserve"> rank</w:t>
      </w:r>
    </w:p>
    <w:p>
      <w:pPr>
        <w:spacing w:before="120" w:after="120"/>
      </w:pPr>
      <w:r>
        <w:t>Considering the high correlation and small throughput performance in the case of fixed rank, a promising CSI overhead solution is to using one</w:t>
      </w:r>
      <w:r>
        <w:rPr>
          <w:rFonts w:hint="eastAsia"/>
        </w:rPr>
        <w:t xml:space="preserve"> common</w:t>
      </w:r>
      <w:r>
        <w:t xml:space="preserve"> PMI, i.e.,</w:t>
      </w:r>
      <w:r>
        <w:rPr>
          <w:rFonts w:hint="eastAsia"/>
        </w:rPr>
        <w:t xml:space="preserve"> not transmit</w:t>
      </w:r>
      <w:r>
        <w:t>ting</w:t>
      </w:r>
      <w:r>
        <w:rPr>
          <w:rFonts w:hint="eastAsia"/>
        </w:rPr>
        <w:t xml:space="preserve"> the PMI with smaller number of ports.</w:t>
      </w:r>
    </w:p>
    <w:p>
      <w:pPr>
        <w:spacing w:before="120" w:after="120"/>
      </w:pPr>
      <w:r>
        <w:rPr>
          <w:rFonts w:hint="eastAsia"/>
        </w:rPr>
        <w:t xml:space="preserve">The performance </w:t>
      </w:r>
      <w:r>
        <w:t xml:space="preserve">comparison </w:t>
      </w:r>
      <w:r>
        <w:rPr>
          <w:rFonts w:hint="eastAsia"/>
        </w:rPr>
        <w:t xml:space="preserve">of reporting </w:t>
      </w:r>
      <w:r>
        <w:t>one</w:t>
      </w:r>
      <w:r>
        <w:rPr>
          <w:rFonts w:hint="eastAsia"/>
        </w:rPr>
        <w:t xml:space="preserve"> common</w:t>
      </w:r>
      <w:r>
        <w:t xml:space="preserve"> PMI</w:t>
      </w:r>
      <w:r>
        <w:rPr>
          <w:rFonts w:hint="eastAsia"/>
        </w:rPr>
        <w:t xml:space="preserve"> and multiple PMIs</w:t>
      </w:r>
      <w:r>
        <w:t xml:space="preserve"> are evaluated in SLS</w:t>
      </w:r>
      <w:r>
        <w:rPr>
          <w:rFonts w:hint="eastAsia"/>
        </w:rPr>
        <w:t>.</w:t>
      </w:r>
      <w:r>
        <w:t xml:space="preserve"> In the evaluation of using one </w:t>
      </w:r>
      <w:r>
        <w:rPr>
          <w:rFonts w:hint="eastAsia"/>
        </w:rPr>
        <w:t xml:space="preserve">common </w:t>
      </w:r>
      <w:r>
        <w:t xml:space="preserve">PMI to assist gNB dynamic antenna adaptation, the PMIs of other smaller CSI-RS ports are derived by gNB from </w:t>
      </w:r>
      <w:r>
        <w:rPr>
          <w:rFonts w:hint="eastAsia"/>
        </w:rPr>
        <w:t>a</w:t>
      </w:r>
      <w:r>
        <w:t xml:space="preserve"> sub-matrix of the </w:t>
      </w:r>
      <w:r>
        <w:rPr>
          <w:rFonts w:hint="eastAsia"/>
        </w:rPr>
        <w:t xml:space="preserve">precoding matrix </w:t>
      </w:r>
      <w:r>
        <w:t>of largest CSI-RS ports reported by UE. For comparison, for the antenna adaptation with multiple PMIs, the PMIs corresponding to all the adaptation patterns are reported.</w:t>
      </w:r>
    </w:p>
    <w:p>
      <w:pPr>
        <w:spacing w:before="120" w:after="120"/>
      </w:pPr>
      <w:r>
        <w:rPr>
          <w:rFonts w:hint="eastAsia"/>
        </w:rPr>
        <w:t>Mo</w:t>
      </w:r>
      <w:r>
        <w:t xml:space="preserve">reover, it should be noted that the RI may change when the gNB adapts TxRU patterns for energy saving or data transmission. </w:t>
      </w:r>
      <w:r>
        <w:rPr>
          <w:rFonts w:hint="eastAsia"/>
        </w:rPr>
        <w:t xml:space="preserve">When RI changes for different number of ports, the number of columns of a precoding matrix </w:t>
      </w:r>
      <w:r>
        <w:t xml:space="preserve">will change accordingly, which is shown in the evaluation results in Figure </w:t>
      </w:r>
      <w:r>
        <w:rPr>
          <w:rFonts w:hint="eastAsia"/>
        </w:rPr>
        <w:t>11</w:t>
      </w:r>
      <w:r>
        <w:t>. It can be seen that when d</w:t>
      </w:r>
      <w:r>
        <w:rPr>
          <w:rFonts w:hint="eastAsia"/>
        </w:rPr>
        <w:t>ynamic gNB antenna</w:t>
      </w:r>
      <w:r>
        <w:t xml:space="preserve"> adaptation</w:t>
      </w:r>
      <w:r>
        <w:rPr>
          <w:rFonts w:hint="eastAsia"/>
        </w:rPr>
        <w:t xml:space="preserve"> </w:t>
      </w:r>
      <w:r>
        <w:t>among</w:t>
      </w:r>
      <w:r>
        <w:rPr>
          <w:rFonts w:hint="eastAsia"/>
        </w:rPr>
        <w:t xml:space="preserve"> {32ports, 24ports, 16ports}</w:t>
      </w:r>
      <w:r>
        <w:t xml:space="preserve"> is considered, the RI will not update due to gNB antenna adaptation in most cases (about 80%), while in 20% cases, the RI will be impacted when gNB antenna number is dynamically adapted from 32 ports to 24 or 16 ports.</w:t>
      </w:r>
    </w:p>
    <w:p>
      <w:pPr>
        <w:spacing w:before="120" w:after="120"/>
        <w:jc w:val="center"/>
      </w:pPr>
      <w:r>
        <w:drawing>
          <wp:inline distT="0" distB="0" distL="114300" distR="114300">
            <wp:extent cx="4080510" cy="2155825"/>
            <wp:effectExtent l="4445" t="4445" r="10795" b="11430"/>
            <wp:docPr id="8"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8"/>
              </a:graphicData>
            </a:graphic>
          </wp:inline>
        </w:drawing>
      </w:r>
    </w:p>
    <w:p>
      <w:pPr>
        <w:pStyle w:val="59"/>
        <w:spacing w:before="120" w:after="120"/>
        <w:rPr>
          <w:rFonts w:hint="default"/>
        </w:rPr>
      </w:pPr>
      <w:r>
        <w:t>RI change distribution</w:t>
      </w:r>
    </w:p>
    <w:p>
      <w:pPr>
        <w:spacing w:before="120" w:after="120"/>
      </w:pPr>
      <w:r>
        <w:t>To reflect this influence, the</w:t>
      </w:r>
      <w:r>
        <w:rPr>
          <w:rFonts w:hint="eastAsia"/>
        </w:rPr>
        <w:t xml:space="preserve"> RI changes</w:t>
      </w:r>
      <w:r>
        <w:t xml:space="preserve"> due to spatial adaptation is also considered in</w:t>
      </w:r>
      <w:r>
        <w:rPr>
          <w:rFonts w:hint="eastAsia"/>
        </w:rPr>
        <w:t xml:space="preserve"> </w:t>
      </w:r>
      <w:r>
        <w:t xml:space="preserve">the </w:t>
      </w:r>
      <w:r>
        <w:rPr>
          <w:rFonts w:hint="eastAsia"/>
        </w:rPr>
        <w:t>simulation</w:t>
      </w:r>
      <w:r>
        <w:t>s in this section</w:t>
      </w:r>
      <w:r>
        <w:rPr>
          <w:rFonts w:hint="eastAsia"/>
        </w:rPr>
        <w:t>. In this simulation, FTP 3 traffic</w:t>
      </w:r>
      <w:r>
        <w:t xml:space="preserve"> </w:t>
      </w:r>
      <w:r>
        <w:rPr>
          <w:rFonts w:hint="eastAsia"/>
        </w:rPr>
        <w:t xml:space="preserve">(packet size = 4KByte, average interval time =10ms) is used. </w:t>
      </w:r>
      <w:r>
        <w:t>And t</w:t>
      </w:r>
      <w:r>
        <w:rPr>
          <w:rFonts w:hint="eastAsia"/>
        </w:rPr>
        <w:t>he following cases are simulated.</w:t>
      </w:r>
    </w:p>
    <w:p>
      <w:pPr>
        <w:spacing w:before="120" w:after="120"/>
      </w:pPr>
      <w:r>
        <w:rPr>
          <w:rFonts w:hint="eastAsia"/>
        </w:rPr>
        <w:t>Case#1: Dynamic gNB antenna</w:t>
      </w:r>
      <w:r>
        <w:t xml:space="preserve"> adaptation</w:t>
      </w:r>
      <w:r>
        <w:rPr>
          <w:rFonts w:hint="eastAsia"/>
        </w:rPr>
        <w:t xml:space="preserve"> </w:t>
      </w:r>
      <w:r>
        <w:t>among</w:t>
      </w:r>
      <w:r>
        <w:rPr>
          <w:rFonts w:hint="eastAsia"/>
        </w:rPr>
        <w:t xml:space="preserve"> {32ports, 24ports,}.</w:t>
      </w:r>
    </w:p>
    <w:p>
      <w:pPr>
        <w:spacing w:before="120" w:after="120"/>
      </w:pPr>
      <w:r>
        <w:rPr>
          <w:rFonts w:hint="eastAsia"/>
        </w:rPr>
        <w:t>Case#2: Dynamic gNB antenna</w:t>
      </w:r>
      <w:r>
        <w:t xml:space="preserve"> adaptation</w:t>
      </w:r>
      <w:r>
        <w:rPr>
          <w:rFonts w:hint="eastAsia"/>
        </w:rPr>
        <w:t xml:space="preserve"> </w:t>
      </w:r>
      <w:r>
        <w:t>among</w:t>
      </w:r>
      <w:r>
        <w:rPr>
          <w:rFonts w:hint="eastAsia"/>
        </w:rPr>
        <w:t xml:space="preserve"> {32ports, 16ports}.</w:t>
      </w:r>
    </w:p>
    <w:p>
      <w:pPr>
        <w:spacing w:before="120" w:after="120"/>
      </w:pPr>
      <w:r>
        <w:t>The t</w:t>
      </w:r>
      <w:r>
        <w:rPr>
          <w:rFonts w:hint="eastAsia"/>
        </w:rPr>
        <w:t xml:space="preserve">hroughput loss </w:t>
      </w:r>
      <w:r>
        <w:t xml:space="preserve">of </w:t>
      </w:r>
      <w:r>
        <w:rPr>
          <w:rFonts w:hint="eastAsia"/>
        </w:rPr>
        <w:t xml:space="preserve">single PMI reporting compared with multi-PMIs reporting with flexible RI </w:t>
      </w:r>
      <w:r>
        <w:t xml:space="preserve">is provided in Table 4. </w:t>
      </w:r>
      <w:r>
        <w:rPr>
          <w:rFonts w:hint="eastAsia"/>
        </w:rPr>
        <w:t>According to SLS simulation results, c</w:t>
      </w:r>
      <w:r>
        <w:t>ompared with reporting multiple PMI</w:t>
      </w:r>
      <w:r>
        <w:rPr>
          <w:rFonts w:hint="eastAsia"/>
        </w:rPr>
        <w:t>s</w:t>
      </w:r>
      <w:r>
        <w:t>, the average throughput loss of single PMI is small</w:t>
      </w:r>
      <w:r>
        <w:rPr>
          <w:rFonts w:hint="eastAsia"/>
        </w:rPr>
        <w:t xml:space="preserve"> when rank is flexible.</w:t>
      </w:r>
    </w:p>
    <w:p>
      <w:pPr>
        <w:pStyle w:val="30"/>
        <w:spacing w:before="120" w:after="120"/>
        <w:rPr>
          <w:lang w:val="en-US" w:eastAsia="zh-CN"/>
        </w:rPr>
      </w:pPr>
      <w:bookmarkStart w:id="60" w:name="_Toc6698"/>
      <w:bookmarkStart w:id="61" w:name="_Toc22412"/>
      <w:bookmarkStart w:id="62" w:name="_Toc986"/>
      <w:bookmarkStart w:id="63" w:name="_Toc26940"/>
      <w:bookmarkStart w:id="64" w:name="_Toc10483"/>
      <w:bookmarkStart w:id="65" w:name="_Toc23574"/>
      <w:bookmarkStart w:id="66" w:name="_Toc31764"/>
      <w:r>
        <w:t xml:space="preserve">Compared with reporting multiple PMI, the </w:t>
      </w:r>
      <w:r>
        <w:rPr>
          <w:rFonts w:hint="eastAsia"/>
          <w:lang w:val="en-US" w:eastAsia="zh-CN"/>
        </w:rPr>
        <w:t xml:space="preserve">average </w:t>
      </w:r>
      <w:r>
        <w:t>throughput loss of single PMI is small</w:t>
      </w:r>
      <w:r>
        <w:rPr>
          <w:rFonts w:hint="eastAsia"/>
          <w:lang w:val="en-US" w:eastAsia="zh-CN"/>
        </w:rPr>
        <w:t xml:space="preserve"> </w:t>
      </w:r>
      <w:r>
        <w:rPr>
          <w:rFonts w:hint="eastAsia"/>
        </w:rPr>
        <w:t>when rank is flexible</w:t>
      </w:r>
      <w:r>
        <w:t>.</w:t>
      </w:r>
      <w:bookmarkEnd w:id="60"/>
      <w:bookmarkEnd w:id="61"/>
      <w:bookmarkEnd w:id="62"/>
      <w:bookmarkEnd w:id="63"/>
      <w:bookmarkEnd w:id="64"/>
      <w:bookmarkEnd w:id="65"/>
      <w:bookmarkEnd w:id="66"/>
    </w:p>
    <w:p>
      <w:pPr>
        <w:pStyle w:val="30"/>
        <w:spacing w:before="120" w:after="120"/>
      </w:pPr>
      <w:bookmarkStart w:id="67" w:name="_Toc23640"/>
      <w:bookmarkStart w:id="68" w:name="_Toc19345"/>
      <w:bookmarkStart w:id="69" w:name="_Toc31987"/>
      <w:bookmarkStart w:id="70" w:name="_Toc7240"/>
      <w:bookmarkStart w:id="71" w:name="_Toc4832"/>
      <w:bookmarkStart w:id="72" w:name="_Toc6458"/>
      <w:bookmarkStart w:id="73" w:name="_Toc20754"/>
      <w:r>
        <w:t>The performance of single PMI reporting and multiple PMI reporting</w:t>
      </w:r>
      <w:r>
        <w:rPr>
          <w:rFonts w:hint="eastAsia"/>
        </w:rPr>
        <w:t xml:space="preserve"> </w:t>
      </w:r>
      <w:r>
        <w:t xml:space="preserve">is similar </w:t>
      </w:r>
      <w:r>
        <w:rPr>
          <w:rFonts w:hint="eastAsia"/>
          <w:lang w:eastAsia="zh-CN"/>
        </w:rPr>
        <w:t>fo</w:t>
      </w:r>
      <w:r>
        <w:rPr>
          <w:lang w:eastAsia="zh-CN"/>
        </w:rPr>
        <w:t>r</w:t>
      </w:r>
      <w:r>
        <w:t xml:space="preserve"> both </w:t>
      </w:r>
      <w:r>
        <w:rPr>
          <w:lang w:eastAsia="zh-CN"/>
        </w:rPr>
        <w:t xml:space="preserve">fixed rank </w:t>
      </w:r>
      <w:r>
        <w:t xml:space="preserve">and </w:t>
      </w:r>
      <w:r>
        <w:rPr>
          <w:lang w:eastAsia="zh-CN"/>
        </w:rPr>
        <w:t>flexible rank</w:t>
      </w:r>
      <w:r>
        <w:t>.</w:t>
      </w:r>
      <w:bookmarkEnd w:id="67"/>
      <w:bookmarkEnd w:id="68"/>
      <w:bookmarkEnd w:id="69"/>
      <w:bookmarkEnd w:id="70"/>
      <w:bookmarkEnd w:id="71"/>
      <w:bookmarkEnd w:id="72"/>
      <w:bookmarkEnd w:id="73"/>
    </w:p>
    <w:p>
      <w:pPr>
        <w:spacing w:before="120" w:after="120"/>
        <w:jc w:val="center"/>
      </w:pPr>
      <w:r>
        <w:rPr>
          <w:rFonts w:hint="eastAsia"/>
        </w:rPr>
        <w:t xml:space="preserve">Table </w:t>
      </w:r>
      <w:r>
        <w:t>4</w:t>
      </w:r>
      <w:r>
        <w:rPr>
          <w:rFonts w:hint="eastAsia"/>
        </w:rPr>
        <w:t xml:space="preserve"> Throughput loss of single PMI reporting compared with multi-PMI reporting with flexible RI</w:t>
      </w:r>
      <w:r>
        <w:t xml:space="preserve"> for dynamic gNB antenna adaptation</w:t>
      </w:r>
    </w:p>
    <w:tbl>
      <w:tblPr>
        <w:tblStyle w:val="18"/>
        <w:tblW w:w="8590" w:type="dxa"/>
        <w:jc w:val="center"/>
        <w:tblCellSpacing w:w="0" w:type="dxa"/>
        <w:tblLayout w:type="autofit"/>
        <w:tblCellMar>
          <w:top w:w="0" w:type="dxa"/>
          <w:left w:w="0" w:type="dxa"/>
          <w:bottom w:w="0" w:type="dxa"/>
          <w:right w:w="0" w:type="dxa"/>
        </w:tblCellMar>
      </w:tblPr>
      <w:tblGrid>
        <w:gridCol w:w="1314"/>
        <w:gridCol w:w="1819"/>
        <w:gridCol w:w="1819"/>
        <w:gridCol w:w="1819"/>
        <w:gridCol w:w="1819"/>
      </w:tblGrid>
      <w:tr>
        <w:tblPrEx>
          <w:tblCellMar>
            <w:top w:w="0" w:type="dxa"/>
            <w:left w:w="0" w:type="dxa"/>
            <w:bottom w:w="0" w:type="dxa"/>
            <w:right w:w="0" w:type="dxa"/>
          </w:tblCellMar>
        </w:tblPrEx>
        <w:trPr>
          <w:trHeight w:val="440" w:hRule="atLeast"/>
          <w:tblCellSpacing w:w="0" w:type="dxa"/>
          <w:jc w:val="center"/>
        </w:trPr>
        <w:tc>
          <w:tcPr>
            <w:tcW w:w="1314" w:type="dxa"/>
            <w:tcBorders>
              <w:top w:val="single" w:color="4F81BD" w:sz="8" w:space="0"/>
              <w:left w:val="single" w:color="4F81BD" w:sz="8" w:space="0"/>
              <w:bottom w:val="single" w:color="4F81BD" w:sz="8" w:space="0"/>
              <w:right w:val="dotted" w:color="auto" w:sz="6" w:space="0"/>
            </w:tcBorders>
            <w:shd w:val="clear" w:color="auto" w:fill="4F81BD"/>
            <w:tcMar>
              <w:top w:w="54" w:type="dxa"/>
              <w:left w:w="108" w:type="dxa"/>
              <w:bottom w:w="54" w:type="dxa"/>
              <w:right w:w="108" w:type="dxa"/>
            </w:tcMar>
            <w:vAlign w:val="center"/>
          </w:tcPr>
          <w:p>
            <w:pPr>
              <w:pStyle w:val="16"/>
              <w:spacing w:before="120" w:after="120"/>
              <w:jc w:val="center"/>
              <w:rPr>
                <w:color w:val="FFFFFF"/>
                <w:sz w:val="16"/>
              </w:rPr>
            </w:pPr>
            <w:r>
              <w:rPr>
                <w:color w:val="FFFFFF"/>
                <w:sz w:val="16"/>
                <w:szCs w:val="14"/>
              </w:rPr>
              <w:t>Throughput loss</w:t>
            </w:r>
          </w:p>
        </w:tc>
        <w:tc>
          <w:tcPr>
            <w:tcW w:w="1819" w:type="dxa"/>
            <w:tcBorders>
              <w:top w:val="single" w:color="4F81BD" w:sz="8" w:space="0"/>
              <w:left w:val="dotted" w:color="auto" w:sz="6" w:space="0"/>
              <w:bottom w:val="single" w:color="4F81BD" w:sz="8" w:space="0"/>
              <w:right w:val="dotted" w:color="auto" w:sz="6" w:space="0"/>
            </w:tcBorders>
            <w:shd w:val="clear" w:color="auto" w:fill="4F81BD"/>
            <w:tcMar>
              <w:top w:w="54" w:type="dxa"/>
              <w:left w:w="108" w:type="dxa"/>
              <w:bottom w:w="54" w:type="dxa"/>
              <w:right w:w="108" w:type="dxa"/>
            </w:tcMar>
            <w:vAlign w:val="center"/>
          </w:tcPr>
          <w:p>
            <w:pPr>
              <w:pStyle w:val="16"/>
              <w:spacing w:before="120" w:after="120"/>
              <w:jc w:val="center"/>
              <w:rPr>
                <w:color w:val="FFFFFF"/>
                <w:sz w:val="16"/>
              </w:rPr>
            </w:pPr>
            <w:r>
              <w:rPr>
                <w:b/>
                <w:color w:val="FFFFFF"/>
                <w:sz w:val="16"/>
                <w:szCs w:val="14"/>
              </w:rPr>
              <w:t>Average UE throughput</w:t>
            </w:r>
          </w:p>
        </w:tc>
        <w:tc>
          <w:tcPr>
            <w:tcW w:w="1819" w:type="dxa"/>
            <w:tcBorders>
              <w:top w:val="single" w:color="4F81BD" w:sz="8" w:space="0"/>
              <w:left w:val="dotted" w:color="auto" w:sz="6" w:space="0"/>
              <w:bottom w:val="single" w:color="4F81BD" w:sz="8" w:space="0"/>
              <w:right w:val="dotted" w:color="auto" w:sz="6" w:space="0"/>
            </w:tcBorders>
            <w:shd w:val="clear" w:color="auto" w:fill="4F81BD"/>
            <w:tcMar>
              <w:top w:w="54" w:type="dxa"/>
              <w:left w:w="108" w:type="dxa"/>
              <w:bottom w:w="54" w:type="dxa"/>
              <w:right w:w="108" w:type="dxa"/>
            </w:tcMar>
            <w:vAlign w:val="center"/>
          </w:tcPr>
          <w:p>
            <w:pPr>
              <w:pStyle w:val="16"/>
              <w:spacing w:before="120" w:after="120"/>
              <w:jc w:val="center"/>
              <w:rPr>
                <w:color w:val="FFFFFF"/>
                <w:sz w:val="16"/>
              </w:rPr>
            </w:pPr>
            <w:r>
              <w:rPr>
                <w:b/>
                <w:color w:val="FFFFFF"/>
                <w:sz w:val="16"/>
                <w:szCs w:val="14"/>
              </w:rPr>
              <w:t>5% UE throughput</w:t>
            </w:r>
          </w:p>
        </w:tc>
        <w:tc>
          <w:tcPr>
            <w:tcW w:w="1819" w:type="dxa"/>
            <w:tcBorders>
              <w:top w:val="single" w:color="4F81BD" w:sz="8" w:space="0"/>
              <w:left w:val="dotted" w:color="auto" w:sz="6" w:space="0"/>
              <w:bottom w:val="single" w:color="4F81BD" w:sz="8" w:space="0"/>
              <w:right w:val="dotted" w:color="auto" w:sz="6" w:space="0"/>
            </w:tcBorders>
            <w:shd w:val="clear" w:color="auto" w:fill="4F81BD"/>
            <w:tcMar>
              <w:top w:w="54" w:type="dxa"/>
              <w:left w:w="108" w:type="dxa"/>
              <w:bottom w:w="54" w:type="dxa"/>
              <w:right w:w="108" w:type="dxa"/>
            </w:tcMar>
            <w:vAlign w:val="center"/>
          </w:tcPr>
          <w:p>
            <w:pPr>
              <w:pStyle w:val="16"/>
              <w:spacing w:before="120" w:after="120"/>
              <w:jc w:val="center"/>
              <w:rPr>
                <w:color w:val="FFFFFF"/>
                <w:sz w:val="16"/>
              </w:rPr>
            </w:pPr>
            <w:r>
              <w:rPr>
                <w:b/>
                <w:color w:val="FFFFFF"/>
                <w:sz w:val="16"/>
                <w:szCs w:val="14"/>
              </w:rPr>
              <w:t>50% UE throughput</w:t>
            </w:r>
          </w:p>
        </w:tc>
        <w:tc>
          <w:tcPr>
            <w:tcW w:w="1819" w:type="dxa"/>
            <w:tcBorders>
              <w:top w:val="single" w:color="4F81BD" w:sz="8" w:space="0"/>
              <w:left w:val="dotted" w:color="auto" w:sz="6" w:space="0"/>
              <w:bottom w:val="single" w:color="4F81BD" w:sz="8" w:space="0"/>
              <w:right w:val="single" w:color="4F81BD" w:sz="8" w:space="0"/>
            </w:tcBorders>
            <w:shd w:val="clear" w:color="auto" w:fill="4F81BD"/>
            <w:tcMar>
              <w:top w:w="54" w:type="dxa"/>
              <w:left w:w="108" w:type="dxa"/>
              <w:bottom w:w="54" w:type="dxa"/>
              <w:right w:w="108" w:type="dxa"/>
            </w:tcMar>
            <w:vAlign w:val="center"/>
          </w:tcPr>
          <w:p>
            <w:pPr>
              <w:pStyle w:val="16"/>
              <w:spacing w:before="120" w:after="120"/>
              <w:jc w:val="center"/>
              <w:rPr>
                <w:color w:val="FFFFFF"/>
                <w:sz w:val="16"/>
              </w:rPr>
            </w:pPr>
            <w:r>
              <w:rPr>
                <w:b/>
                <w:color w:val="FFFFFF"/>
                <w:sz w:val="16"/>
                <w:szCs w:val="14"/>
              </w:rPr>
              <w:t>95% UE throughput</w:t>
            </w:r>
          </w:p>
        </w:tc>
      </w:tr>
      <w:tr>
        <w:tblPrEx>
          <w:tblCellMar>
            <w:top w:w="0" w:type="dxa"/>
            <w:left w:w="0" w:type="dxa"/>
            <w:bottom w:w="0" w:type="dxa"/>
            <w:right w:w="0" w:type="dxa"/>
          </w:tblCellMar>
        </w:tblPrEx>
        <w:trPr>
          <w:trHeight w:val="340" w:hRule="atLeast"/>
          <w:tblCellSpacing w:w="0" w:type="dxa"/>
          <w:jc w:val="center"/>
        </w:trPr>
        <w:tc>
          <w:tcPr>
            <w:tcW w:w="1314" w:type="dxa"/>
            <w:tcBorders>
              <w:top w:val="single" w:color="4F81BD" w:sz="8" w:space="0"/>
              <w:left w:val="single" w:color="4F81BD" w:sz="8" w:space="0"/>
              <w:bottom w:val="single" w:color="4F81BD" w:sz="8" w:space="0"/>
              <w:right w:val="dotted" w:color="auto" w:sz="6" w:space="0"/>
            </w:tcBorders>
            <w:shd w:val="clear" w:color="auto" w:fill="FFFFFF"/>
            <w:tcMar>
              <w:top w:w="54" w:type="dxa"/>
              <w:left w:w="108" w:type="dxa"/>
              <w:bottom w:w="54" w:type="dxa"/>
              <w:right w:w="108" w:type="dxa"/>
            </w:tcMar>
            <w:vAlign w:val="center"/>
          </w:tcPr>
          <w:p>
            <w:pPr>
              <w:pStyle w:val="16"/>
              <w:spacing w:before="120" w:after="120"/>
              <w:jc w:val="center"/>
              <w:rPr>
                <w:color w:val="000000"/>
                <w:sz w:val="16"/>
                <w:szCs w:val="14"/>
              </w:rPr>
            </w:pPr>
            <w:r>
              <w:rPr>
                <w:rFonts w:hint="eastAsia"/>
                <w:color w:val="000000"/>
                <w:sz w:val="16"/>
              </w:rPr>
              <w:t>Case#1</w:t>
            </w:r>
          </w:p>
        </w:tc>
        <w:tc>
          <w:tcPr>
            <w:tcW w:w="1819" w:type="dxa"/>
            <w:tcBorders>
              <w:top w:val="single" w:color="4F81BD" w:sz="8" w:space="0"/>
              <w:left w:val="dotted" w:color="auto" w:sz="6" w:space="0"/>
              <w:bottom w:val="single" w:color="4F81BD" w:sz="8" w:space="0"/>
              <w:right w:val="dotted" w:color="auto" w:sz="6" w:space="0"/>
            </w:tcBorders>
            <w:shd w:val="clear" w:color="auto" w:fill="FFFFFF"/>
            <w:tcMar>
              <w:top w:w="54" w:type="dxa"/>
              <w:left w:w="108" w:type="dxa"/>
              <w:bottom w:w="54" w:type="dxa"/>
              <w:right w:w="108" w:type="dxa"/>
            </w:tcMar>
            <w:vAlign w:val="center"/>
          </w:tcPr>
          <w:p>
            <w:pPr>
              <w:spacing w:before="120" w:after="120"/>
              <w:jc w:val="center"/>
              <w:textAlignment w:val="center"/>
              <w:rPr>
                <w:color w:val="000000"/>
                <w:kern w:val="0"/>
                <w:sz w:val="16"/>
                <w:szCs w:val="14"/>
                <w:lang w:bidi="ar"/>
              </w:rPr>
            </w:pPr>
            <w:r>
              <w:rPr>
                <w:color w:val="000000"/>
                <w:kern w:val="0"/>
                <w:sz w:val="16"/>
                <w:szCs w:val="14"/>
                <w:lang w:bidi="ar"/>
              </w:rPr>
              <w:t>-0.03%</w:t>
            </w:r>
          </w:p>
        </w:tc>
        <w:tc>
          <w:tcPr>
            <w:tcW w:w="1819" w:type="dxa"/>
            <w:tcBorders>
              <w:top w:val="single" w:color="4F81BD" w:sz="8" w:space="0"/>
              <w:left w:val="dotted" w:color="auto" w:sz="6" w:space="0"/>
              <w:bottom w:val="single" w:color="4F81BD" w:sz="8" w:space="0"/>
              <w:right w:val="dotted" w:color="auto" w:sz="6" w:space="0"/>
            </w:tcBorders>
            <w:shd w:val="clear" w:color="auto" w:fill="FFFFFF"/>
            <w:tcMar>
              <w:top w:w="54" w:type="dxa"/>
              <w:left w:w="108" w:type="dxa"/>
              <w:bottom w:w="54" w:type="dxa"/>
              <w:right w:w="108" w:type="dxa"/>
            </w:tcMar>
            <w:vAlign w:val="center"/>
          </w:tcPr>
          <w:p>
            <w:pPr>
              <w:spacing w:before="120" w:after="120"/>
              <w:jc w:val="center"/>
              <w:textAlignment w:val="center"/>
              <w:rPr>
                <w:color w:val="000000"/>
                <w:kern w:val="0"/>
                <w:sz w:val="16"/>
                <w:szCs w:val="14"/>
                <w:lang w:bidi="ar"/>
              </w:rPr>
            </w:pPr>
            <w:r>
              <w:rPr>
                <w:color w:val="000000"/>
                <w:kern w:val="0"/>
                <w:sz w:val="16"/>
                <w:szCs w:val="14"/>
                <w:lang w:bidi="ar"/>
              </w:rPr>
              <w:t>-0.02%</w:t>
            </w:r>
          </w:p>
        </w:tc>
        <w:tc>
          <w:tcPr>
            <w:tcW w:w="1819" w:type="dxa"/>
            <w:tcBorders>
              <w:top w:val="single" w:color="4F81BD" w:sz="8" w:space="0"/>
              <w:left w:val="dotted" w:color="auto" w:sz="6" w:space="0"/>
              <w:bottom w:val="single" w:color="4F81BD" w:sz="8" w:space="0"/>
              <w:right w:val="dotted" w:color="auto" w:sz="6" w:space="0"/>
            </w:tcBorders>
            <w:shd w:val="clear" w:color="auto" w:fill="FFFFFF"/>
            <w:tcMar>
              <w:top w:w="54" w:type="dxa"/>
              <w:left w:w="108" w:type="dxa"/>
              <w:bottom w:w="54" w:type="dxa"/>
              <w:right w:w="108" w:type="dxa"/>
            </w:tcMar>
            <w:vAlign w:val="center"/>
          </w:tcPr>
          <w:p>
            <w:pPr>
              <w:spacing w:before="120" w:after="120"/>
              <w:jc w:val="center"/>
              <w:textAlignment w:val="center"/>
              <w:rPr>
                <w:color w:val="000000"/>
                <w:kern w:val="0"/>
                <w:sz w:val="16"/>
                <w:szCs w:val="14"/>
                <w:lang w:bidi="ar"/>
              </w:rPr>
            </w:pPr>
            <w:r>
              <w:rPr>
                <w:color w:val="000000"/>
                <w:kern w:val="0"/>
                <w:sz w:val="16"/>
                <w:szCs w:val="14"/>
                <w:lang w:bidi="ar"/>
              </w:rPr>
              <w:t>-0.04%</w:t>
            </w:r>
          </w:p>
        </w:tc>
        <w:tc>
          <w:tcPr>
            <w:tcW w:w="1819" w:type="dxa"/>
            <w:tcBorders>
              <w:top w:val="single" w:color="4F81BD" w:sz="8" w:space="0"/>
              <w:left w:val="dotted" w:color="auto" w:sz="6" w:space="0"/>
              <w:bottom w:val="single" w:color="4F81BD" w:sz="8" w:space="0"/>
              <w:right w:val="single" w:color="4F81BD" w:sz="8" w:space="0"/>
            </w:tcBorders>
            <w:shd w:val="clear" w:color="auto" w:fill="FFFFFF"/>
            <w:tcMar>
              <w:top w:w="54" w:type="dxa"/>
              <w:left w:w="108" w:type="dxa"/>
              <w:bottom w:w="54" w:type="dxa"/>
              <w:right w:w="108" w:type="dxa"/>
            </w:tcMar>
            <w:vAlign w:val="center"/>
          </w:tcPr>
          <w:p>
            <w:pPr>
              <w:spacing w:before="120" w:after="120"/>
              <w:jc w:val="center"/>
              <w:textAlignment w:val="center"/>
              <w:rPr>
                <w:color w:val="000000"/>
                <w:kern w:val="0"/>
                <w:sz w:val="16"/>
                <w:szCs w:val="14"/>
                <w:lang w:bidi="ar"/>
              </w:rPr>
            </w:pPr>
            <w:r>
              <w:rPr>
                <w:color w:val="000000"/>
                <w:kern w:val="0"/>
                <w:sz w:val="16"/>
                <w:szCs w:val="14"/>
                <w:lang w:bidi="ar"/>
              </w:rPr>
              <w:t>-0.0</w:t>
            </w:r>
            <w:r>
              <w:rPr>
                <w:rFonts w:hint="eastAsia"/>
                <w:color w:val="000000"/>
                <w:kern w:val="0"/>
                <w:sz w:val="16"/>
                <w:szCs w:val="14"/>
                <w:lang w:bidi="ar"/>
              </w:rPr>
              <w:t>3</w:t>
            </w:r>
            <w:r>
              <w:rPr>
                <w:color w:val="000000"/>
                <w:kern w:val="0"/>
                <w:sz w:val="16"/>
                <w:szCs w:val="14"/>
                <w:lang w:bidi="ar"/>
              </w:rPr>
              <w:t>%</w:t>
            </w:r>
          </w:p>
        </w:tc>
      </w:tr>
      <w:tr>
        <w:tblPrEx>
          <w:tblCellMar>
            <w:top w:w="0" w:type="dxa"/>
            <w:left w:w="0" w:type="dxa"/>
            <w:bottom w:w="0" w:type="dxa"/>
            <w:right w:w="0" w:type="dxa"/>
          </w:tblCellMar>
        </w:tblPrEx>
        <w:trPr>
          <w:trHeight w:val="340" w:hRule="atLeast"/>
          <w:tblCellSpacing w:w="0" w:type="dxa"/>
          <w:jc w:val="center"/>
        </w:trPr>
        <w:tc>
          <w:tcPr>
            <w:tcW w:w="1314" w:type="dxa"/>
            <w:tcBorders>
              <w:top w:val="single" w:color="4F81BD" w:sz="8" w:space="0"/>
              <w:left w:val="single" w:color="4F81BD" w:sz="8" w:space="0"/>
              <w:bottom w:val="single" w:color="4F81BD" w:sz="8" w:space="0"/>
              <w:right w:val="dotted" w:color="auto" w:sz="6" w:space="0"/>
            </w:tcBorders>
            <w:shd w:val="clear" w:color="auto" w:fill="E9EDF4"/>
            <w:tcMar>
              <w:top w:w="54" w:type="dxa"/>
              <w:left w:w="108" w:type="dxa"/>
              <w:bottom w:w="54" w:type="dxa"/>
              <w:right w:w="108" w:type="dxa"/>
            </w:tcMar>
            <w:vAlign w:val="center"/>
          </w:tcPr>
          <w:p>
            <w:pPr>
              <w:pStyle w:val="16"/>
              <w:spacing w:before="120" w:after="120"/>
              <w:jc w:val="center"/>
              <w:rPr>
                <w:color w:val="000000"/>
                <w:sz w:val="16"/>
                <w:szCs w:val="14"/>
              </w:rPr>
            </w:pPr>
            <w:r>
              <w:rPr>
                <w:rFonts w:hint="eastAsia"/>
                <w:color w:val="000000"/>
                <w:sz w:val="16"/>
              </w:rPr>
              <w:t>Case#2</w:t>
            </w:r>
          </w:p>
        </w:tc>
        <w:tc>
          <w:tcPr>
            <w:tcW w:w="1819" w:type="dxa"/>
            <w:tcBorders>
              <w:top w:val="single" w:color="4F81BD" w:sz="8" w:space="0"/>
              <w:left w:val="dotted" w:color="auto" w:sz="6" w:space="0"/>
              <w:bottom w:val="single" w:color="4F81BD" w:sz="8" w:space="0"/>
              <w:right w:val="dotted" w:color="auto" w:sz="6" w:space="0"/>
            </w:tcBorders>
            <w:shd w:val="clear" w:color="auto" w:fill="E9EDF4"/>
            <w:tcMar>
              <w:top w:w="54" w:type="dxa"/>
              <w:left w:w="108" w:type="dxa"/>
              <w:bottom w:w="54" w:type="dxa"/>
              <w:right w:w="108" w:type="dxa"/>
            </w:tcMar>
            <w:vAlign w:val="center"/>
          </w:tcPr>
          <w:p>
            <w:pPr>
              <w:spacing w:before="120" w:after="120"/>
              <w:jc w:val="center"/>
              <w:textAlignment w:val="center"/>
              <w:rPr>
                <w:color w:val="000000"/>
                <w:kern w:val="0"/>
                <w:sz w:val="16"/>
                <w:szCs w:val="14"/>
                <w:lang w:bidi="ar"/>
              </w:rPr>
            </w:pPr>
            <w:r>
              <w:rPr>
                <w:color w:val="000000"/>
                <w:kern w:val="0"/>
                <w:sz w:val="16"/>
                <w:szCs w:val="14"/>
                <w:lang w:bidi="ar"/>
              </w:rPr>
              <w:t>-0.92%</w:t>
            </w:r>
          </w:p>
        </w:tc>
        <w:tc>
          <w:tcPr>
            <w:tcW w:w="1819" w:type="dxa"/>
            <w:tcBorders>
              <w:top w:val="single" w:color="4F81BD" w:sz="8" w:space="0"/>
              <w:left w:val="dotted" w:color="auto" w:sz="6" w:space="0"/>
              <w:bottom w:val="single" w:color="4F81BD" w:sz="8" w:space="0"/>
              <w:right w:val="dotted" w:color="auto" w:sz="6" w:space="0"/>
            </w:tcBorders>
            <w:shd w:val="clear" w:color="auto" w:fill="E9EDF4"/>
            <w:tcMar>
              <w:top w:w="54" w:type="dxa"/>
              <w:left w:w="108" w:type="dxa"/>
              <w:bottom w:w="54" w:type="dxa"/>
              <w:right w:w="108" w:type="dxa"/>
            </w:tcMar>
            <w:vAlign w:val="center"/>
          </w:tcPr>
          <w:p>
            <w:pPr>
              <w:spacing w:before="120" w:after="120"/>
              <w:jc w:val="center"/>
              <w:textAlignment w:val="center"/>
              <w:rPr>
                <w:color w:val="000000"/>
                <w:kern w:val="0"/>
                <w:sz w:val="16"/>
                <w:szCs w:val="14"/>
                <w:lang w:bidi="ar"/>
              </w:rPr>
            </w:pPr>
            <w:r>
              <w:rPr>
                <w:color w:val="000000"/>
                <w:kern w:val="0"/>
                <w:sz w:val="16"/>
                <w:szCs w:val="14"/>
                <w:lang w:bidi="ar"/>
              </w:rPr>
              <w:t>-0.51%</w:t>
            </w:r>
          </w:p>
        </w:tc>
        <w:tc>
          <w:tcPr>
            <w:tcW w:w="1819" w:type="dxa"/>
            <w:tcBorders>
              <w:top w:val="single" w:color="4F81BD" w:sz="8" w:space="0"/>
              <w:left w:val="dotted" w:color="auto" w:sz="6" w:space="0"/>
              <w:bottom w:val="single" w:color="4F81BD" w:sz="8" w:space="0"/>
              <w:right w:val="dotted" w:color="auto" w:sz="6" w:space="0"/>
            </w:tcBorders>
            <w:shd w:val="clear" w:color="auto" w:fill="E9EDF4"/>
            <w:tcMar>
              <w:top w:w="54" w:type="dxa"/>
              <w:left w:w="108" w:type="dxa"/>
              <w:bottom w:w="54" w:type="dxa"/>
              <w:right w:w="108" w:type="dxa"/>
            </w:tcMar>
            <w:vAlign w:val="center"/>
          </w:tcPr>
          <w:p>
            <w:pPr>
              <w:spacing w:before="120" w:after="120"/>
              <w:jc w:val="center"/>
              <w:textAlignment w:val="center"/>
              <w:rPr>
                <w:color w:val="000000"/>
                <w:kern w:val="0"/>
                <w:sz w:val="16"/>
                <w:szCs w:val="14"/>
                <w:lang w:bidi="ar"/>
              </w:rPr>
            </w:pPr>
            <w:r>
              <w:rPr>
                <w:color w:val="000000"/>
                <w:kern w:val="0"/>
                <w:sz w:val="16"/>
                <w:szCs w:val="14"/>
                <w:lang w:bidi="ar"/>
              </w:rPr>
              <w:t>-0.92%</w:t>
            </w:r>
          </w:p>
        </w:tc>
        <w:tc>
          <w:tcPr>
            <w:tcW w:w="1819" w:type="dxa"/>
            <w:tcBorders>
              <w:top w:val="single" w:color="4F81BD" w:sz="8" w:space="0"/>
              <w:left w:val="dotted" w:color="auto" w:sz="6" w:space="0"/>
              <w:bottom w:val="single" w:color="4F81BD" w:sz="8" w:space="0"/>
              <w:right w:val="single" w:color="4F81BD" w:sz="8" w:space="0"/>
            </w:tcBorders>
            <w:shd w:val="clear" w:color="auto" w:fill="E9EDF4"/>
            <w:tcMar>
              <w:top w:w="54" w:type="dxa"/>
              <w:left w:w="108" w:type="dxa"/>
              <w:bottom w:w="54" w:type="dxa"/>
              <w:right w:w="108" w:type="dxa"/>
            </w:tcMar>
            <w:vAlign w:val="center"/>
          </w:tcPr>
          <w:p>
            <w:pPr>
              <w:spacing w:before="120" w:after="120"/>
              <w:jc w:val="center"/>
              <w:textAlignment w:val="center"/>
              <w:rPr>
                <w:color w:val="000000"/>
                <w:kern w:val="0"/>
                <w:sz w:val="16"/>
                <w:szCs w:val="14"/>
                <w:lang w:bidi="ar"/>
              </w:rPr>
            </w:pPr>
            <w:r>
              <w:rPr>
                <w:color w:val="000000"/>
                <w:kern w:val="0"/>
                <w:sz w:val="16"/>
                <w:szCs w:val="14"/>
                <w:lang w:bidi="ar"/>
              </w:rPr>
              <w:t>-1.39%</w:t>
            </w:r>
          </w:p>
        </w:tc>
      </w:tr>
    </w:tbl>
    <w:p>
      <w:pPr>
        <w:spacing w:before="120" w:after="120"/>
      </w:pPr>
    </w:p>
    <w:p>
      <w:pPr>
        <w:spacing w:before="120" w:after="120"/>
      </w:pPr>
      <w:r>
        <w:rPr>
          <w:rFonts w:hint="eastAsia"/>
        </w:rPr>
        <w:t>T</w:t>
      </w:r>
      <w:r>
        <w:t>o this end, it can be concluded that performance of</w:t>
      </w:r>
      <w:r>
        <w:rPr>
          <w:rFonts w:hint="eastAsia"/>
        </w:rPr>
        <w:t xml:space="preserve"> </w:t>
      </w:r>
      <w:r>
        <w:t>single PMI reporting and multiple PMI reporting is similar</w:t>
      </w:r>
      <w:r>
        <w:rPr>
          <w:rFonts w:hint="eastAsia"/>
          <w:lang w:val="en-GB" w:eastAsia="en-US"/>
        </w:rPr>
        <w:t xml:space="preserve"> </w:t>
      </w:r>
      <w:r>
        <w:rPr>
          <w:rFonts w:hint="eastAsia"/>
        </w:rPr>
        <w:t>a</w:t>
      </w:r>
      <w:r>
        <w:t xml:space="preserve">nd CSI payload can be reduced with single PMI reporting. </w:t>
      </w:r>
      <w:r>
        <w:rPr>
          <w:rFonts w:hint="eastAsia"/>
        </w:rPr>
        <w:t>Table 5 shows t</w:t>
      </w:r>
      <w:r>
        <w:t xml:space="preserve">he </w:t>
      </w:r>
      <w:r>
        <w:rPr>
          <w:rFonts w:hint="eastAsia"/>
        </w:rPr>
        <w:t>payload</w:t>
      </w:r>
      <w:r>
        <w:t>s</w:t>
      </w:r>
      <w:r>
        <w:rPr>
          <w:rFonts w:hint="eastAsia"/>
        </w:rPr>
        <w:t xml:space="preserve"> of</w:t>
      </w:r>
      <w:r>
        <w:t xml:space="preserve"> single</w:t>
      </w:r>
      <w:r>
        <w:rPr>
          <w:rFonts w:hint="eastAsia"/>
        </w:rPr>
        <w:t xml:space="preserve"> PMI reporting </w:t>
      </w:r>
      <w:r>
        <w:t>and multiple</w:t>
      </w:r>
      <w:r>
        <w:rPr>
          <w:rFonts w:hint="eastAsia"/>
        </w:rPr>
        <w:t xml:space="preserve"> PMI reporting for two cases. One case</w:t>
      </w:r>
      <w:r>
        <w:t xml:space="preserve"> </w:t>
      </w:r>
      <w:r>
        <w:rPr>
          <w:rFonts w:hint="eastAsia"/>
        </w:rPr>
        <w:t>(</w:t>
      </w:r>
      <w:r>
        <w:t xml:space="preserve">i.e., </w:t>
      </w:r>
      <w:r>
        <w:rPr>
          <w:rFonts w:hint="eastAsia"/>
        </w:rPr>
        <w:t xml:space="preserve">case#4) is </w:t>
      </w:r>
      <w:r>
        <w:t>dynamic gNB antenna adaptation among</w:t>
      </w:r>
      <w:r>
        <w:rPr>
          <w:rFonts w:hint="eastAsia"/>
        </w:rPr>
        <w:t xml:space="preserve"> {32ports, 24ports, 16ports} and the other case (</w:t>
      </w:r>
      <w:r>
        <w:t xml:space="preserve">i.e., </w:t>
      </w:r>
      <w:r>
        <w:rPr>
          <w:rFonts w:hint="eastAsia"/>
        </w:rPr>
        <w:t>case#</w:t>
      </w:r>
      <w:r>
        <w:t>1</w:t>
      </w:r>
      <w:r>
        <w:rPr>
          <w:rFonts w:hint="eastAsia"/>
        </w:rPr>
        <w:t>)</w:t>
      </w:r>
      <w:r>
        <w:t xml:space="preserve"> </w:t>
      </w:r>
      <w:r>
        <w:rPr>
          <w:rFonts w:hint="eastAsia"/>
        </w:rPr>
        <w:t xml:space="preserve">is </w:t>
      </w:r>
      <w:r>
        <w:t xml:space="preserve">dynamic gNB antenna adaptation </w:t>
      </w:r>
      <w:r>
        <w:rPr>
          <w:rFonts w:hint="eastAsia"/>
        </w:rPr>
        <w:t>between {32ports, 24ports}. In both cases,</w:t>
      </w:r>
      <w:r>
        <w:t xml:space="preserve"> it is a</w:t>
      </w:r>
      <w:r>
        <w:rPr>
          <w:rFonts w:hint="eastAsia"/>
        </w:rPr>
        <w:t>ssum</w:t>
      </w:r>
      <w:r>
        <w:t>ed</w:t>
      </w:r>
      <w:r>
        <w:rPr>
          <w:rFonts w:hint="eastAsia"/>
        </w:rPr>
        <w:t xml:space="preserve"> that the bandwidth part includes 275 PRBs, subband size is 16 PRBs, the number of subband PMIs is 18</w:t>
      </w:r>
      <w:r>
        <w:t xml:space="preserve">, and rank=3. It can be observed that </w:t>
      </w:r>
      <w:r>
        <w:rPr>
          <w:rFonts w:hint="eastAsia"/>
        </w:rPr>
        <w:t>paylo</w:t>
      </w:r>
      <w:r>
        <w:t>a</w:t>
      </w:r>
      <w:r>
        <w:rPr>
          <w:rFonts w:hint="eastAsia"/>
        </w:rPr>
        <w:t>d</w:t>
      </w:r>
      <w:r>
        <w:t xml:space="preserve"> size of PMI reporting (including wideband PMI and sub-band PMI) can be reduced from </w:t>
      </w:r>
      <w:r>
        <w:rPr>
          <w:rFonts w:hint="eastAsia"/>
        </w:rPr>
        <w:t>82</w:t>
      </w:r>
      <w:r>
        <w:t xml:space="preserve"> </w:t>
      </w:r>
      <w:r>
        <w:rPr>
          <w:rFonts w:hint="eastAsia"/>
        </w:rPr>
        <w:t>bits</w:t>
      </w:r>
      <w:r>
        <w:t xml:space="preserve"> to </w:t>
      </w:r>
      <w:r>
        <w:rPr>
          <w:rFonts w:hint="eastAsia"/>
        </w:rPr>
        <w:t>28</w:t>
      </w:r>
      <w:r>
        <w:t xml:space="preserve"> </w:t>
      </w:r>
      <w:r>
        <w:rPr>
          <w:rFonts w:hint="eastAsia"/>
        </w:rPr>
        <w:t>bits</w:t>
      </w:r>
      <w:r>
        <w:t xml:space="preserve"> by single PMI</w:t>
      </w:r>
      <w:r>
        <w:rPr>
          <w:rFonts w:hint="eastAsia"/>
        </w:rPr>
        <w:t xml:space="preserve"> for case#4. And the paylo</w:t>
      </w:r>
      <w:r>
        <w:t>a</w:t>
      </w:r>
      <w:r>
        <w:rPr>
          <w:rFonts w:hint="eastAsia"/>
        </w:rPr>
        <w:t>d</w:t>
      </w:r>
      <w:r>
        <w:t xml:space="preserve"> size of PMI reporting (including wideband PMI and sub-band PMI) can be reduced from </w:t>
      </w:r>
      <w:r>
        <w:rPr>
          <w:rFonts w:hint="eastAsia"/>
        </w:rPr>
        <w:t>56 bits</w:t>
      </w:r>
      <w:r>
        <w:t xml:space="preserve"> to </w:t>
      </w:r>
      <w:r>
        <w:rPr>
          <w:rFonts w:hint="eastAsia"/>
        </w:rPr>
        <w:t>28</w:t>
      </w:r>
      <w:r>
        <w:t xml:space="preserve"> </w:t>
      </w:r>
      <w:r>
        <w:rPr>
          <w:rFonts w:hint="eastAsia"/>
        </w:rPr>
        <w:t>bits</w:t>
      </w:r>
      <w:r>
        <w:t xml:space="preserve"> by single PMI</w:t>
      </w:r>
      <w:r>
        <w:rPr>
          <w:rFonts w:hint="eastAsia"/>
        </w:rPr>
        <w:t xml:space="preserve"> for case#1.</w:t>
      </w:r>
      <w:r>
        <w:t xml:space="preserve"> </w:t>
      </w:r>
      <w:r>
        <w:rPr>
          <w:rFonts w:hint="eastAsia"/>
        </w:rPr>
        <w:t>T</w:t>
      </w:r>
      <w:r>
        <w:t>he payload size of PMI reporting can be reduced by 65%</w:t>
      </w:r>
      <w:r>
        <w:rPr>
          <w:rFonts w:hint="eastAsia"/>
        </w:rPr>
        <w:t xml:space="preserve"> and 50% for case#4 and case#1, respectively</w:t>
      </w:r>
      <w:r>
        <w:t>.</w:t>
      </w:r>
    </w:p>
    <w:p>
      <w:pPr>
        <w:spacing w:before="120" w:after="120"/>
      </w:pPr>
      <w:r>
        <w:t xml:space="preserve">Therefore, one </w:t>
      </w:r>
      <w:r>
        <w:rPr>
          <w:rFonts w:hint="eastAsia"/>
        </w:rPr>
        <w:t xml:space="preserve">common </w:t>
      </w:r>
      <w:r>
        <w:t>PMI reporting with the largest number of ports for multiple CSIs report can should be considered to reduce the UCI overhead.</w:t>
      </w:r>
    </w:p>
    <w:p>
      <w:pPr>
        <w:spacing w:before="120" w:after="120"/>
        <w:jc w:val="center"/>
      </w:pPr>
      <w:r>
        <w:rPr>
          <w:rFonts w:hint="eastAsia"/>
        </w:rPr>
        <w:t>Table 5 Payload of PMI reporting</w:t>
      </w:r>
    </w:p>
    <w:tbl>
      <w:tblPr>
        <w:tblStyle w:val="19"/>
        <w:tblW w:w="98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69"/>
        <w:gridCol w:w="2469"/>
        <w:gridCol w:w="2469"/>
        <w:gridCol w:w="24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9" w:type="dxa"/>
            <w:tcBorders>
              <w:top w:val="single" w:color="4F81BD" w:sz="8" w:space="0"/>
              <w:left w:val="single" w:color="4F81BD" w:sz="8" w:space="0"/>
              <w:bottom w:val="single" w:color="4F81BD" w:sz="8" w:space="0"/>
              <w:right w:val="dotted" w:color="auto" w:sz="4" w:space="0"/>
            </w:tcBorders>
            <w:shd w:val="clear" w:color="auto" w:fill="4F81BD"/>
            <w:vAlign w:val="center"/>
          </w:tcPr>
          <w:p>
            <w:pPr>
              <w:spacing w:before="120" w:after="120"/>
              <w:jc w:val="center"/>
              <w:rPr>
                <w:color w:val="FFFFFF"/>
              </w:rPr>
            </w:pPr>
            <w:r>
              <w:rPr>
                <w:rFonts w:hint="eastAsia"/>
                <w:color w:val="FFFFFF"/>
              </w:rPr>
              <w:t>Scheme</w:t>
            </w:r>
          </w:p>
        </w:tc>
        <w:tc>
          <w:tcPr>
            <w:tcW w:w="2469" w:type="dxa"/>
            <w:tcBorders>
              <w:top w:val="single" w:color="4F81BD" w:sz="8" w:space="0"/>
              <w:left w:val="dotted" w:color="auto" w:sz="0" w:space="0"/>
              <w:bottom w:val="single" w:color="4F81BD" w:sz="8" w:space="0"/>
              <w:right w:val="dotted" w:color="auto" w:sz="4" w:space="0"/>
            </w:tcBorders>
            <w:shd w:val="clear" w:color="auto" w:fill="4F81BD"/>
            <w:vAlign w:val="center"/>
          </w:tcPr>
          <w:p>
            <w:pPr>
              <w:spacing w:before="120" w:after="120"/>
              <w:jc w:val="center"/>
              <w:rPr>
                <w:color w:val="FFFFFF"/>
              </w:rPr>
            </w:pPr>
            <w:r>
              <w:rPr>
                <w:rFonts w:hint="eastAsia"/>
                <w:color w:val="FFFFFF"/>
              </w:rPr>
              <w:t>Payload of wideband PMI reporting</w:t>
            </w:r>
          </w:p>
        </w:tc>
        <w:tc>
          <w:tcPr>
            <w:tcW w:w="2469" w:type="dxa"/>
            <w:tcBorders>
              <w:top w:val="single" w:color="4F81BD" w:sz="8" w:space="0"/>
              <w:left w:val="dotted" w:color="auto" w:sz="0" w:space="0"/>
              <w:bottom w:val="single" w:color="4F81BD" w:sz="8" w:space="0"/>
              <w:right w:val="dotted" w:color="auto" w:sz="4" w:space="0"/>
            </w:tcBorders>
            <w:shd w:val="clear" w:color="auto" w:fill="4F81BD"/>
            <w:vAlign w:val="center"/>
          </w:tcPr>
          <w:p>
            <w:pPr>
              <w:spacing w:before="120" w:after="120"/>
              <w:jc w:val="center"/>
              <w:rPr>
                <w:color w:val="FFFFFF"/>
              </w:rPr>
            </w:pPr>
            <w:r>
              <w:rPr>
                <w:rFonts w:hint="eastAsia"/>
                <w:color w:val="FFFFFF"/>
              </w:rPr>
              <w:t>Payload of subband PMI reporting</w:t>
            </w:r>
          </w:p>
        </w:tc>
        <w:tc>
          <w:tcPr>
            <w:tcW w:w="2469" w:type="dxa"/>
            <w:tcBorders>
              <w:top w:val="single" w:color="4F81BD" w:sz="8" w:space="0"/>
              <w:left w:val="dotted" w:color="auto" w:sz="0" w:space="0"/>
              <w:bottom w:val="single" w:color="4F81BD" w:sz="8" w:space="0"/>
              <w:right w:val="single" w:color="4F81BD" w:sz="8" w:space="0"/>
            </w:tcBorders>
            <w:shd w:val="clear" w:color="auto" w:fill="4F81BD"/>
            <w:vAlign w:val="center"/>
          </w:tcPr>
          <w:p>
            <w:pPr>
              <w:spacing w:before="120" w:after="120"/>
              <w:jc w:val="center"/>
              <w:rPr>
                <w:color w:val="FFFFFF"/>
              </w:rPr>
            </w:pPr>
            <w:r>
              <w:rPr>
                <w:rFonts w:hint="eastAsia"/>
                <w:color w:val="FFFFFF"/>
              </w:rPr>
              <w:t>Total paylo</w:t>
            </w:r>
            <w:r>
              <w:rPr>
                <w:color w:val="FFFFFF"/>
              </w:rPr>
              <w:t>a</w:t>
            </w:r>
            <w:r>
              <w:rPr>
                <w:rFonts w:hint="eastAsia"/>
                <w:color w:val="FFFFFF"/>
              </w:rP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gridSpan w:val="4"/>
            <w:tcBorders>
              <w:top w:val="single" w:color="4F81BD" w:sz="8" w:space="0"/>
              <w:left w:val="single" w:color="4F81BD" w:sz="8" w:space="0"/>
              <w:bottom w:val="single" w:color="4F81BD" w:sz="8" w:space="0"/>
              <w:right w:val="dotted" w:color="auto" w:sz="4" w:space="0"/>
            </w:tcBorders>
            <w:shd w:val="clear" w:color="auto" w:fill="E9EDF4"/>
            <w:vAlign w:val="center"/>
          </w:tcPr>
          <w:p>
            <w:pPr>
              <w:spacing w:before="120" w:after="120"/>
              <w:jc w:val="center"/>
              <w:rPr>
                <w:color w:val="000000"/>
              </w:rPr>
            </w:pPr>
            <w:r>
              <w:rPr>
                <w:rFonts w:hint="eastAsia"/>
                <w:color w:val="000000"/>
              </w:rPr>
              <w:t xml:space="preserve">Case#4: </w:t>
            </w:r>
            <w:r>
              <w:rPr>
                <w:color w:val="000000"/>
              </w:rPr>
              <w:t>dynamic gNB antenna adaptation among</w:t>
            </w:r>
            <w:r>
              <w:rPr>
                <w:rFonts w:hint="eastAsia"/>
                <w:color w:val="000000"/>
              </w:rPr>
              <w:t xml:space="preserve"> {32ports, 24ports, 16ports}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9" w:type="dxa"/>
            <w:tcBorders>
              <w:top w:val="single" w:color="4F81BD" w:sz="8" w:space="0"/>
              <w:left w:val="single" w:color="4F81BD" w:sz="8" w:space="0"/>
              <w:bottom w:val="single" w:color="4F81BD" w:sz="8" w:space="0"/>
              <w:right w:val="dotted" w:color="auto" w:sz="4" w:space="0"/>
            </w:tcBorders>
            <w:shd w:val="clear" w:color="auto" w:fill="FFFFFF"/>
            <w:vAlign w:val="center"/>
          </w:tcPr>
          <w:p>
            <w:pPr>
              <w:spacing w:before="120" w:after="120"/>
              <w:jc w:val="center"/>
              <w:rPr>
                <w:color w:val="000000"/>
              </w:rPr>
            </w:pPr>
            <w:r>
              <w:rPr>
                <w:rFonts w:hint="eastAsia"/>
                <w:color w:val="000000"/>
              </w:rPr>
              <w:t>Report one PMI</w:t>
            </w:r>
          </w:p>
        </w:tc>
        <w:tc>
          <w:tcPr>
            <w:tcW w:w="2469" w:type="dxa"/>
            <w:tcBorders>
              <w:top w:val="single" w:color="4F81BD" w:sz="8" w:space="0"/>
              <w:left w:val="dotted" w:color="auto" w:sz="0" w:space="0"/>
              <w:bottom w:val="single" w:color="4F81BD" w:sz="8" w:space="0"/>
              <w:right w:val="dotted" w:color="auto" w:sz="4" w:space="0"/>
            </w:tcBorders>
            <w:shd w:val="clear" w:color="auto" w:fill="FFFFFF"/>
            <w:vAlign w:val="center"/>
          </w:tcPr>
          <w:p>
            <w:pPr>
              <w:spacing w:before="120" w:after="120"/>
              <w:jc w:val="center"/>
              <w:rPr>
                <w:color w:val="000000"/>
              </w:rPr>
            </w:pPr>
            <w:r>
              <w:rPr>
                <w:rFonts w:hint="eastAsia"/>
                <w:color w:val="000000"/>
              </w:rPr>
              <w:t>10(bits)</w:t>
            </w:r>
          </w:p>
        </w:tc>
        <w:tc>
          <w:tcPr>
            <w:tcW w:w="2469" w:type="dxa"/>
            <w:tcBorders>
              <w:top w:val="single" w:color="4F81BD" w:sz="8" w:space="0"/>
              <w:left w:val="dotted" w:color="auto" w:sz="0" w:space="0"/>
              <w:bottom w:val="single" w:color="4F81BD" w:sz="8" w:space="0"/>
              <w:right w:val="dotted" w:color="auto" w:sz="4" w:space="0"/>
            </w:tcBorders>
            <w:shd w:val="clear" w:color="auto" w:fill="FFFFFF"/>
            <w:vAlign w:val="center"/>
          </w:tcPr>
          <w:p>
            <w:pPr>
              <w:spacing w:before="120" w:after="120"/>
              <w:jc w:val="center"/>
              <w:rPr>
                <w:color w:val="000000"/>
              </w:rPr>
            </w:pPr>
            <w:r>
              <w:rPr>
                <w:rFonts w:hint="eastAsia"/>
                <w:color w:val="000000"/>
              </w:rPr>
              <w:t>18(bits)</w:t>
            </w:r>
          </w:p>
        </w:tc>
        <w:tc>
          <w:tcPr>
            <w:tcW w:w="2469" w:type="dxa"/>
            <w:tcBorders>
              <w:top w:val="single" w:color="4F81BD" w:sz="8" w:space="0"/>
              <w:left w:val="dotted" w:color="auto" w:sz="0" w:space="0"/>
              <w:bottom w:val="single" w:color="4F81BD" w:sz="8" w:space="0"/>
              <w:right w:val="single" w:color="4F81BD" w:sz="8" w:space="0"/>
            </w:tcBorders>
            <w:shd w:val="clear" w:color="auto" w:fill="FFFFFF"/>
            <w:vAlign w:val="center"/>
          </w:tcPr>
          <w:p>
            <w:pPr>
              <w:spacing w:before="120" w:after="120"/>
              <w:jc w:val="center"/>
              <w:rPr>
                <w:color w:val="000000"/>
              </w:rPr>
            </w:pPr>
            <w:r>
              <w:rPr>
                <w:rFonts w:hint="eastAsia"/>
                <w:color w:val="000000"/>
              </w:rPr>
              <w:t>28(bits)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9" w:type="dxa"/>
            <w:tcBorders>
              <w:top w:val="single" w:color="4F81BD" w:sz="8" w:space="0"/>
              <w:left w:val="single" w:color="4F81BD" w:sz="8" w:space="0"/>
              <w:bottom w:val="single" w:color="4F81BD" w:sz="8" w:space="0"/>
              <w:right w:val="dotted" w:color="auto" w:sz="4" w:space="0"/>
            </w:tcBorders>
            <w:shd w:val="clear" w:color="auto" w:fill="E9EDF4"/>
            <w:vAlign w:val="center"/>
          </w:tcPr>
          <w:p>
            <w:pPr>
              <w:spacing w:before="120" w:after="120"/>
              <w:jc w:val="center"/>
              <w:rPr>
                <w:color w:val="000000"/>
              </w:rPr>
            </w:pPr>
            <w:r>
              <w:rPr>
                <w:rFonts w:hint="eastAsia"/>
                <w:color w:val="000000"/>
              </w:rPr>
              <w:t>Report multi-PMI</w:t>
            </w:r>
          </w:p>
        </w:tc>
        <w:tc>
          <w:tcPr>
            <w:tcW w:w="2469" w:type="dxa"/>
            <w:tcBorders>
              <w:top w:val="single" w:color="4F81BD" w:sz="8" w:space="0"/>
              <w:left w:val="dotted" w:color="auto" w:sz="0" w:space="0"/>
              <w:bottom w:val="single" w:color="4F81BD" w:sz="8" w:space="0"/>
              <w:right w:val="dotted" w:color="auto" w:sz="4" w:space="0"/>
            </w:tcBorders>
            <w:shd w:val="clear" w:color="auto" w:fill="E9EDF4"/>
            <w:vAlign w:val="center"/>
          </w:tcPr>
          <w:p>
            <w:pPr>
              <w:spacing w:before="120" w:after="120"/>
              <w:jc w:val="center"/>
              <w:rPr>
                <w:color w:val="000000"/>
              </w:rPr>
            </w:pPr>
            <w:r>
              <w:rPr>
                <w:rFonts w:hint="eastAsia"/>
                <w:color w:val="000000"/>
              </w:rPr>
              <w:t>10+10+8=28(bits)</w:t>
            </w:r>
          </w:p>
        </w:tc>
        <w:tc>
          <w:tcPr>
            <w:tcW w:w="2469" w:type="dxa"/>
            <w:tcBorders>
              <w:top w:val="single" w:color="4F81BD" w:sz="8" w:space="0"/>
              <w:left w:val="dotted" w:color="auto" w:sz="0" w:space="0"/>
              <w:bottom w:val="single" w:color="4F81BD" w:sz="8" w:space="0"/>
              <w:right w:val="dotted" w:color="auto" w:sz="4" w:space="0"/>
            </w:tcBorders>
            <w:shd w:val="clear" w:color="auto" w:fill="E9EDF4"/>
            <w:vAlign w:val="center"/>
          </w:tcPr>
          <w:p>
            <w:pPr>
              <w:spacing w:before="120" w:after="120"/>
              <w:jc w:val="center"/>
              <w:rPr>
                <w:color w:val="000000"/>
              </w:rPr>
            </w:pPr>
            <w:r>
              <w:rPr>
                <w:rFonts w:hint="eastAsia"/>
                <w:color w:val="000000"/>
              </w:rPr>
              <w:t>18*3=54(bits)</w:t>
            </w:r>
          </w:p>
        </w:tc>
        <w:tc>
          <w:tcPr>
            <w:tcW w:w="2469" w:type="dxa"/>
            <w:tcBorders>
              <w:top w:val="single" w:color="4F81BD" w:sz="8" w:space="0"/>
              <w:left w:val="dotted" w:color="auto" w:sz="0" w:space="0"/>
              <w:bottom w:val="single" w:color="4F81BD" w:sz="8" w:space="0"/>
              <w:right w:val="single" w:color="4F81BD" w:sz="8" w:space="0"/>
            </w:tcBorders>
            <w:shd w:val="clear" w:color="auto" w:fill="E9EDF4"/>
            <w:vAlign w:val="center"/>
          </w:tcPr>
          <w:p>
            <w:pPr>
              <w:spacing w:before="120" w:after="120"/>
              <w:jc w:val="center"/>
              <w:rPr>
                <w:color w:val="000000"/>
              </w:rPr>
            </w:pPr>
            <w:r>
              <w:rPr>
                <w:rFonts w:hint="eastAsia"/>
                <w:color w:val="000000"/>
              </w:rPr>
              <w:t>82(bits)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gridSpan w:val="4"/>
            <w:tcBorders>
              <w:top w:val="single" w:color="4F81BD" w:sz="8" w:space="0"/>
              <w:left w:val="single" w:color="4F81BD" w:sz="8" w:space="0"/>
              <w:bottom w:val="single" w:color="4F81BD" w:sz="8" w:space="0"/>
              <w:right w:val="dotted" w:color="auto" w:sz="4" w:space="0"/>
            </w:tcBorders>
            <w:shd w:val="clear" w:color="auto" w:fill="FFFFFF"/>
            <w:vAlign w:val="center"/>
          </w:tcPr>
          <w:p>
            <w:pPr>
              <w:spacing w:before="120" w:after="120"/>
              <w:jc w:val="center"/>
              <w:rPr>
                <w:color w:val="000000"/>
              </w:rPr>
            </w:pPr>
            <w:r>
              <w:rPr>
                <w:rFonts w:hint="eastAsia"/>
                <w:color w:val="000000"/>
              </w:rPr>
              <w:t xml:space="preserve">Case#1: </w:t>
            </w:r>
            <w:r>
              <w:rPr>
                <w:color w:val="000000"/>
              </w:rPr>
              <w:t xml:space="preserve">dynamic gNB antenna adaptation </w:t>
            </w:r>
            <w:r>
              <w:rPr>
                <w:rFonts w:hint="eastAsia"/>
                <w:color w:val="000000"/>
              </w:rPr>
              <w:t>between {32ports, 24ports}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9" w:type="dxa"/>
            <w:tcBorders>
              <w:top w:val="single" w:color="4F81BD" w:sz="8" w:space="0"/>
              <w:left w:val="single" w:color="4F81BD" w:sz="8" w:space="0"/>
              <w:bottom w:val="single" w:color="4F81BD" w:sz="8" w:space="0"/>
              <w:right w:val="dotted" w:color="auto" w:sz="4" w:space="0"/>
            </w:tcBorders>
            <w:shd w:val="clear" w:color="auto" w:fill="E9EDF4"/>
            <w:vAlign w:val="center"/>
          </w:tcPr>
          <w:p>
            <w:pPr>
              <w:spacing w:before="120" w:after="120"/>
              <w:jc w:val="center"/>
              <w:rPr>
                <w:color w:val="000000"/>
              </w:rPr>
            </w:pPr>
            <w:r>
              <w:rPr>
                <w:rFonts w:hint="eastAsia"/>
                <w:color w:val="000000"/>
              </w:rPr>
              <w:t>Report one PMI</w:t>
            </w:r>
          </w:p>
        </w:tc>
        <w:tc>
          <w:tcPr>
            <w:tcW w:w="2469" w:type="dxa"/>
            <w:tcBorders>
              <w:top w:val="single" w:color="4F81BD" w:sz="8" w:space="0"/>
              <w:left w:val="dotted" w:color="auto" w:sz="0" w:space="0"/>
              <w:bottom w:val="single" w:color="4F81BD" w:sz="8" w:space="0"/>
              <w:right w:val="dotted" w:color="auto" w:sz="4" w:space="0"/>
            </w:tcBorders>
            <w:shd w:val="clear" w:color="auto" w:fill="E9EDF4"/>
            <w:vAlign w:val="center"/>
          </w:tcPr>
          <w:p>
            <w:pPr>
              <w:spacing w:before="120" w:after="120"/>
              <w:jc w:val="center"/>
              <w:rPr>
                <w:color w:val="000000"/>
              </w:rPr>
            </w:pPr>
            <w:r>
              <w:rPr>
                <w:rFonts w:hint="eastAsia"/>
                <w:color w:val="000000"/>
              </w:rPr>
              <w:t>10(bits)</w:t>
            </w:r>
          </w:p>
        </w:tc>
        <w:tc>
          <w:tcPr>
            <w:tcW w:w="2469" w:type="dxa"/>
            <w:tcBorders>
              <w:top w:val="single" w:color="4F81BD" w:sz="8" w:space="0"/>
              <w:left w:val="dotted" w:color="auto" w:sz="0" w:space="0"/>
              <w:bottom w:val="single" w:color="4F81BD" w:sz="8" w:space="0"/>
              <w:right w:val="dotted" w:color="auto" w:sz="4" w:space="0"/>
            </w:tcBorders>
            <w:shd w:val="clear" w:color="auto" w:fill="E9EDF4"/>
            <w:vAlign w:val="center"/>
          </w:tcPr>
          <w:p>
            <w:pPr>
              <w:spacing w:before="120" w:after="120"/>
              <w:jc w:val="center"/>
              <w:rPr>
                <w:color w:val="000000"/>
              </w:rPr>
            </w:pPr>
            <w:r>
              <w:rPr>
                <w:rFonts w:hint="eastAsia"/>
                <w:color w:val="000000"/>
              </w:rPr>
              <w:t>18(bits)</w:t>
            </w:r>
          </w:p>
        </w:tc>
        <w:tc>
          <w:tcPr>
            <w:tcW w:w="2469" w:type="dxa"/>
            <w:tcBorders>
              <w:top w:val="single" w:color="4F81BD" w:sz="8" w:space="0"/>
              <w:left w:val="dotted" w:color="auto" w:sz="0" w:space="0"/>
              <w:bottom w:val="single" w:color="4F81BD" w:sz="8" w:space="0"/>
              <w:right w:val="single" w:color="4F81BD" w:sz="8" w:space="0"/>
            </w:tcBorders>
            <w:shd w:val="clear" w:color="auto" w:fill="E9EDF4"/>
            <w:vAlign w:val="center"/>
          </w:tcPr>
          <w:p>
            <w:pPr>
              <w:spacing w:before="120" w:after="120"/>
              <w:jc w:val="center"/>
              <w:rPr>
                <w:color w:val="000000"/>
              </w:rPr>
            </w:pPr>
            <w:r>
              <w:rPr>
                <w:rFonts w:hint="eastAsia"/>
                <w:color w:val="000000"/>
              </w:rPr>
              <w:t>28(bits)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9" w:type="dxa"/>
            <w:tcBorders>
              <w:top w:val="single" w:color="4F81BD" w:sz="8" w:space="0"/>
              <w:left w:val="single" w:color="4F81BD" w:sz="8" w:space="0"/>
              <w:bottom w:val="single" w:color="4F81BD" w:sz="8" w:space="0"/>
              <w:right w:val="dotted" w:color="auto" w:sz="4" w:space="0"/>
            </w:tcBorders>
            <w:shd w:val="clear" w:color="auto" w:fill="FFFFFF"/>
            <w:vAlign w:val="center"/>
          </w:tcPr>
          <w:p>
            <w:pPr>
              <w:spacing w:before="120" w:after="120"/>
              <w:jc w:val="center"/>
              <w:rPr>
                <w:color w:val="000000"/>
              </w:rPr>
            </w:pPr>
            <w:r>
              <w:rPr>
                <w:rFonts w:hint="eastAsia"/>
                <w:color w:val="000000"/>
              </w:rPr>
              <w:t>Report multi-PMI</w:t>
            </w:r>
          </w:p>
        </w:tc>
        <w:tc>
          <w:tcPr>
            <w:tcW w:w="2469" w:type="dxa"/>
            <w:tcBorders>
              <w:top w:val="single" w:color="4F81BD" w:sz="8" w:space="0"/>
              <w:left w:val="dotted" w:color="auto" w:sz="0" w:space="0"/>
              <w:bottom w:val="single" w:color="4F81BD" w:sz="8" w:space="0"/>
              <w:right w:val="dotted" w:color="auto" w:sz="4" w:space="0"/>
            </w:tcBorders>
            <w:shd w:val="clear" w:color="auto" w:fill="FFFFFF"/>
            <w:vAlign w:val="center"/>
          </w:tcPr>
          <w:p>
            <w:pPr>
              <w:spacing w:before="120" w:after="120"/>
              <w:jc w:val="center"/>
              <w:rPr>
                <w:color w:val="000000"/>
              </w:rPr>
            </w:pPr>
            <w:r>
              <w:rPr>
                <w:rFonts w:hint="eastAsia"/>
                <w:color w:val="000000"/>
              </w:rPr>
              <w:t>10+10=20(bits)</w:t>
            </w:r>
          </w:p>
        </w:tc>
        <w:tc>
          <w:tcPr>
            <w:tcW w:w="2469" w:type="dxa"/>
            <w:tcBorders>
              <w:top w:val="single" w:color="4F81BD" w:sz="8" w:space="0"/>
              <w:left w:val="dotted" w:color="auto" w:sz="0" w:space="0"/>
              <w:bottom w:val="single" w:color="4F81BD" w:sz="8" w:space="0"/>
              <w:right w:val="dotted" w:color="auto" w:sz="4" w:space="0"/>
            </w:tcBorders>
            <w:shd w:val="clear" w:color="auto" w:fill="FFFFFF"/>
            <w:vAlign w:val="center"/>
          </w:tcPr>
          <w:p>
            <w:pPr>
              <w:spacing w:before="120" w:after="120"/>
              <w:jc w:val="center"/>
              <w:rPr>
                <w:color w:val="000000"/>
              </w:rPr>
            </w:pPr>
            <w:r>
              <w:rPr>
                <w:rFonts w:hint="eastAsia"/>
                <w:color w:val="000000"/>
              </w:rPr>
              <w:t>18*2=36(bits)</w:t>
            </w:r>
          </w:p>
        </w:tc>
        <w:tc>
          <w:tcPr>
            <w:tcW w:w="2469" w:type="dxa"/>
            <w:tcBorders>
              <w:top w:val="single" w:color="4F81BD" w:sz="8" w:space="0"/>
              <w:left w:val="dotted" w:color="auto" w:sz="0" w:space="0"/>
              <w:bottom w:val="single" w:color="4F81BD" w:sz="8" w:space="0"/>
              <w:right w:val="single" w:color="4F81BD" w:sz="8" w:space="0"/>
            </w:tcBorders>
            <w:shd w:val="clear" w:color="auto" w:fill="FFFFFF"/>
            <w:vAlign w:val="center"/>
          </w:tcPr>
          <w:p>
            <w:pPr>
              <w:spacing w:before="120" w:after="120"/>
              <w:jc w:val="center"/>
              <w:rPr>
                <w:color w:val="000000"/>
              </w:rPr>
            </w:pPr>
            <w:r>
              <w:rPr>
                <w:rFonts w:hint="eastAsia"/>
                <w:color w:val="000000"/>
              </w:rPr>
              <w:t>56(bits)</w:t>
            </w:r>
          </w:p>
        </w:tc>
      </w:tr>
    </w:tbl>
    <w:p>
      <w:pPr>
        <w:spacing w:before="120" w:after="120"/>
      </w:pPr>
    </w:p>
    <w:p>
      <w:pPr>
        <w:pStyle w:val="30"/>
        <w:spacing w:before="120" w:after="120"/>
      </w:pPr>
      <w:bookmarkStart w:id="74" w:name="_Toc30596"/>
      <w:bookmarkStart w:id="75" w:name="_Toc15931"/>
      <w:bookmarkStart w:id="76" w:name="_Toc19181"/>
      <w:bookmarkStart w:id="77" w:name="_Toc20850"/>
      <w:bookmarkStart w:id="78" w:name="_Toc5719"/>
      <w:bookmarkStart w:id="79" w:name="_Toc21974"/>
      <w:bookmarkStart w:id="80" w:name="_Toc4079"/>
      <w:r>
        <w:rPr>
          <w:rFonts w:hint="eastAsia"/>
          <w:lang w:val="en-US" w:eastAsia="zh-CN"/>
        </w:rPr>
        <w:t xml:space="preserve">When </w:t>
      </w:r>
      <w:r>
        <w:t>dynamic gNB antenna adaptation among</w:t>
      </w:r>
      <w:r>
        <w:rPr>
          <w:rFonts w:hint="eastAsia"/>
        </w:rPr>
        <w:t xml:space="preserve"> {32ports, 24ports, 16ports}</w:t>
      </w:r>
      <w:r>
        <w:rPr>
          <w:rFonts w:hint="eastAsia"/>
          <w:lang w:val="en-US" w:eastAsia="zh-CN"/>
        </w:rPr>
        <w:t xml:space="preserve">, the payload of PMI reporting </w:t>
      </w:r>
      <w:r>
        <w:rPr>
          <w:lang w:val="en-US" w:eastAsia="zh-CN"/>
        </w:rPr>
        <w:t xml:space="preserve">can by </w:t>
      </w:r>
      <w:r>
        <w:rPr>
          <w:rFonts w:hint="eastAsia"/>
          <w:lang w:val="en-US" w:eastAsia="zh-CN"/>
        </w:rPr>
        <w:t xml:space="preserve">reduced </w:t>
      </w:r>
      <w:r>
        <w:rPr>
          <w:lang w:val="en-US" w:eastAsia="zh-CN"/>
        </w:rPr>
        <w:t>by 65% (</w:t>
      </w:r>
      <w:r>
        <w:rPr>
          <w:rFonts w:hint="eastAsia"/>
          <w:lang w:val="en-US" w:eastAsia="zh-CN"/>
        </w:rPr>
        <w:t>i</w:t>
      </w:r>
      <w:r>
        <w:rPr>
          <w:lang w:val="en-US" w:eastAsia="zh-CN"/>
        </w:rPr>
        <w:t xml:space="preserve">.e., </w:t>
      </w:r>
      <w:r>
        <w:rPr>
          <w:rFonts w:hint="eastAsia"/>
          <w:lang w:val="en-US" w:eastAsia="zh-CN"/>
        </w:rPr>
        <w:t xml:space="preserve">from </w:t>
      </w:r>
      <w:r>
        <w:rPr>
          <w:lang w:val="en-US" w:eastAsia="zh-CN"/>
        </w:rPr>
        <w:t>82</w:t>
      </w:r>
      <w:r>
        <w:rPr>
          <w:rFonts w:hint="eastAsia"/>
          <w:lang w:val="en-US" w:eastAsia="zh-CN"/>
        </w:rPr>
        <w:t xml:space="preserve">bits to </w:t>
      </w:r>
      <w:r>
        <w:rPr>
          <w:lang w:val="en-US" w:eastAsia="zh-CN"/>
        </w:rPr>
        <w:t>28</w:t>
      </w:r>
      <w:r>
        <w:rPr>
          <w:rFonts w:hint="eastAsia"/>
          <w:lang w:val="en-US" w:eastAsia="zh-CN"/>
        </w:rPr>
        <w:t>bits</w:t>
      </w:r>
      <w:r>
        <w:rPr>
          <w:lang w:val="en-US" w:eastAsia="zh-CN"/>
        </w:rPr>
        <w:t>)</w:t>
      </w:r>
      <w:r>
        <w:rPr>
          <w:rFonts w:hint="eastAsia"/>
          <w:lang w:val="en-US" w:eastAsia="zh-CN"/>
        </w:rPr>
        <w:t xml:space="preserve"> using </w:t>
      </w:r>
      <w:r>
        <w:t>single PMI reporting</w:t>
      </w:r>
      <w:r>
        <w:rPr>
          <w:rFonts w:hint="eastAsia"/>
          <w:lang w:val="en-US" w:eastAsia="zh-CN"/>
        </w:rPr>
        <w:t>.</w:t>
      </w:r>
      <w:bookmarkEnd w:id="74"/>
      <w:bookmarkEnd w:id="75"/>
      <w:bookmarkEnd w:id="76"/>
      <w:bookmarkEnd w:id="77"/>
      <w:r>
        <w:rPr>
          <w:rFonts w:hint="eastAsia"/>
          <w:lang w:val="en-US" w:eastAsia="zh-CN"/>
        </w:rPr>
        <w:t xml:space="preserve"> When </w:t>
      </w:r>
      <w:r>
        <w:t xml:space="preserve">dynamic gNB antenna adaptation </w:t>
      </w:r>
      <w:r>
        <w:rPr>
          <w:rFonts w:hint="eastAsia"/>
          <w:lang w:val="en-US" w:eastAsia="zh-CN"/>
        </w:rPr>
        <w:t xml:space="preserve">between </w:t>
      </w:r>
      <w:r>
        <w:rPr>
          <w:rFonts w:hint="eastAsia"/>
        </w:rPr>
        <w:t>{32ports, 24ports}</w:t>
      </w:r>
      <w:r>
        <w:rPr>
          <w:rFonts w:hint="eastAsia"/>
          <w:lang w:val="en-US" w:eastAsia="zh-CN"/>
        </w:rPr>
        <w:t xml:space="preserve">, the payload of PMI reporting </w:t>
      </w:r>
      <w:r>
        <w:rPr>
          <w:lang w:val="en-US" w:eastAsia="zh-CN"/>
        </w:rPr>
        <w:t xml:space="preserve">can by </w:t>
      </w:r>
      <w:r>
        <w:rPr>
          <w:rFonts w:hint="eastAsia"/>
          <w:lang w:val="en-US" w:eastAsia="zh-CN"/>
        </w:rPr>
        <w:t xml:space="preserve">reduced </w:t>
      </w:r>
      <w:r>
        <w:rPr>
          <w:lang w:val="en-US" w:eastAsia="zh-CN"/>
        </w:rPr>
        <w:t>by 5</w:t>
      </w:r>
      <w:r>
        <w:rPr>
          <w:rFonts w:hint="eastAsia"/>
          <w:lang w:val="en-US" w:eastAsia="zh-CN"/>
        </w:rPr>
        <w:t>0</w:t>
      </w:r>
      <w:r>
        <w:rPr>
          <w:lang w:val="en-US" w:eastAsia="zh-CN"/>
        </w:rPr>
        <w:t>% (</w:t>
      </w:r>
      <w:r>
        <w:rPr>
          <w:rFonts w:hint="eastAsia"/>
          <w:lang w:val="en-US" w:eastAsia="zh-CN"/>
        </w:rPr>
        <w:t>i</w:t>
      </w:r>
      <w:r>
        <w:rPr>
          <w:lang w:val="en-US" w:eastAsia="zh-CN"/>
        </w:rPr>
        <w:t xml:space="preserve">.e., </w:t>
      </w:r>
      <w:r>
        <w:rPr>
          <w:rFonts w:hint="eastAsia"/>
          <w:lang w:val="en-US" w:eastAsia="zh-CN"/>
        </w:rPr>
        <w:t xml:space="preserve">from 56 bits to </w:t>
      </w:r>
      <w:r>
        <w:rPr>
          <w:lang w:val="en-US" w:eastAsia="zh-CN"/>
        </w:rPr>
        <w:t>28</w:t>
      </w:r>
      <w:r>
        <w:rPr>
          <w:rFonts w:hint="eastAsia"/>
          <w:lang w:val="en-US" w:eastAsia="zh-CN"/>
        </w:rPr>
        <w:t>bits</w:t>
      </w:r>
      <w:r>
        <w:rPr>
          <w:lang w:val="en-US" w:eastAsia="zh-CN"/>
        </w:rPr>
        <w:t>)</w:t>
      </w:r>
      <w:r>
        <w:rPr>
          <w:rFonts w:hint="eastAsia"/>
          <w:lang w:val="en-US" w:eastAsia="zh-CN"/>
        </w:rPr>
        <w:t xml:space="preserve"> using </w:t>
      </w:r>
      <w:r>
        <w:t>single PMI reporting</w:t>
      </w:r>
      <w:r>
        <w:rPr>
          <w:rFonts w:hint="eastAsia"/>
          <w:lang w:val="en-US" w:eastAsia="zh-CN"/>
        </w:rPr>
        <w:t>.</w:t>
      </w:r>
      <w:bookmarkEnd w:id="78"/>
      <w:bookmarkEnd w:id="79"/>
      <w:bookmarkEnd w:id="80"/>
    </w:p>
    <w:p>
      <w:pPr>
        <w:pStyle w:val="31"/>
        <w:spacing w:before="120" w:after="120"/>
      </w:pPr>
      <w:bookmarkStart w:id="81" w:name="_Toc15399"/>
      <w:bookmarkStart w:id="82" w:name="_Toc12662"/>
      <w:bookmarkStart w:id="83" w:name="_Toc4249"/>
      <w:bookmarkStart w:id="84" w:name="_Toc32734"/>
      <w:bookmarkStart w:id="85" w:name="_Toc131790362"/>
      <w:bookmarkStart w:id="86" w:name="_Toc120"/>
      <w:bookmarkStart w:id="87" w:name="_Toc29757"/>
      <w:bookmarkStart w:id="88" w:name="_Toc21065"/>
      <w:bookmarkStart w:id="89" w:name="_Toc12144"/>
      <w:r>
        <w:t>Reporting only one PMI with the largest number of ports for multiple CSIs report should be considered to reduce the UCI overhead.</w:t>
      </w:r>
      <w:bookmarkEnd w:id="81"/>
      <w:bookmarkEnd w:id="82"/>
      <w:bookmarkEnd w:id="83"/>
      <w:bookmarkEnd w:id="84"/>
      <w:bookmarkEnd w:id="85"/>
      <w:bookmarkEnd w:id="86"/>
      <w:bookmarkEnd w:id="87"/>
      <w:bookmarkEnd w:id="88"/>
      <w:bookmarkEnd w:id="89"/>
      <w:bookmarkStart w:id="90" w:name="_Toc7121"/>
      <w:bookmarkEnd w:id="90"/>
      <w:bookmarkStart w:id="91" w:name="_Toc2928"/>
      <w:bookmarkEnd w:id="91"/>
      <w:bookmarkStart w:id="92" w:name="_Toc31265"/>
      <w:bookmarkEnd w:id="92"/>
      <w:bookmarkStart w:id="93" w:name="_Toc27254"/>
      <w:bookmarkEnd w:id="93"/>
      <w:bookmarkStart w:id="94" w:name="_Toc28876"/>
      <w:bookmarkEnd w:id="94"/>
    </w:p>
    <w:p>
      <w:pPr>
        <w:pStyle w:val="5"/>
        <w:numPr>
          <w:ilvl w:val="3"/>
          <w:numId w:val="1"/>
        </w:numPr>
        <w:spacing w:after="120"/>
        <w:ind w:left="0" w:right="210"/>
      </w:pPr>
      <w:r>
        <w:rPr>
          <w:rFonts w:hint="eastAsia"/>
        </w:rPr>
        <w:t>Determin</w:t>
      </w:r>
      <w:r>
        <w:t>ation of</w:t>
      </w:r>
      <w:r>
        <w:rPr>
          <w:rFonts w:hint="eastAsia"/>
        </w:rPr>
        <w:t xml:space="preserve"> a precoding matrix with smaller port</w:t>
      </w:r>
      <w:r>
        <w:t xml:space="preserve"> number</w:t>
      </w:r>
      <w:r>
        <w:rPr>
          <w:rFonts w:hint="eastAsia"/>
        </w:rPr>
        <w:t xml:space="preserve">s </w:t>
      </w:r>
      <w:r>
        <w:t>with single PMI reporting</w:t>
      </w:r>
    </w:p>
    <w:p>
      <w:pPr>
        <w:spacing w:before="120" w:after="120"/>
      </w:pPr>
      <w:r>
        <w:rPr>
          <w:rFonts w:hint="eastAsia"/>
        </w:rPr>
        <w:t>When only one common PMI</w:t>
      </w:r>
      <w:r>
        <w:t xml:space="preserve"> is reported</w:t>
      </w:r>
      <w:r>
        <w:rPr>
          <w:rFonts w:hint="eastAsia"/>
        </w:rPr>
        <w:t xml:space="preserve">, it should be clarified how to use a precoding matrix </w:t>
      </w:r>
      <w:r>
        <w:t>of</w:t>
      </w:r>
      <w:r>
        <w:rPr>
          <w:rFonts w:hint="eastAsia"/>
        </w:rPr>
        <w:t xml:space="preserve"> a larger port numbers to </w:t>
      </w:r>
      <w:r>
        <w:t>derive</w:t>
      </w:r>
      <w:r>
        <w:rPr>
          <w:rFonts w:hint="eastAsia"/>
        </w:rPr>
        <w:t xml:space="preserve"> a precoding matrix </w:t>
      </w:r>
      <w:r>
        <w:t>of</w:t>
      </w:r>
      <w:r>
        <w:rPr>
          <w:rFonts w:hint="eastAsia"/>
        </w:rPr>
        <w:t xml:space="preserve"> a smaller port</w:t>
      </w:r>
      <w:r>
        <w:t xml:space="preserve"> </w:t>
      </w:r>
      <w:r>
        <w:rPr>
          <w:rFonts w:hint="eastAsia"/>
        </w:rPr>
        <w:t xml:space="preserve">numbers. </w:t>
      </w:r>
    </w:p>
    <w:p>
      <w:pPr>
        <w:spacing w:before="120" w:after="120"/>
      </w:pPr>
      <w:r>
        <w:t xml:space="preserve">The rows of the </w:t>
      </w:r>
      <w:r>
        <w:rPr>
          <w:rFonts w:hint="eastAsia"/>
        </w:rPr>
        <w:t>precoding matrix o</w:t>
      </w:r>
      <w:r>
        <w:t xml:space="preserve">f </w:t>
      </w:r>
      <w:r>
        <w:rPr>
          <w:rFonts w:hint="eastAsia"/>
        </w:rPr>
        <w:t>a smaller port</w:t>
      </w:r>
      <w:r>
        <w:t xml:space="preserve"> </w:t>
      </w:r>
      <w:r>
        <w:rPr>
          <w:rFonts w:hint="eastAsia"/>
        </w:rPr>
        <w:t xml:space="preserve">numbers </w:t>
      </w:r>
      <w:r>
        <w:t>depends on the subsets of ports (or spatial adaptation patterns) selected by gNB.</w:t>
      </w:r>
      <w:r>
        <w:rPr>
          <w:rFonts w:hint="eastAsia"/>
        </w:rPr>
        <w:t xml:space="preserve"> The row</w:t>
      </w:r>
      <w:r>
        <w:t>s are selected</w:t>
      </w:r>
      <w:r>
        <w:rPr>
          <w:rFonts w:hint="eastAsia"/>
        </w:rPr>
        <w:t xml:space="preserve"> according to the port subset indication indicated by gNB.</w:t>
      </w:r>
    </w:p>
    <w:p>
      <w:pPr>
        <w:spacing w:before="120" w:after="120"/>
      </w:pPr>
      <w:r>
        <w:rPr>
          <w:rFonts w:hint="eastAsia"/>
        </w:rPr>
        <w:t xml:space="preserve">For example, gNB indicates a port subset indication, </w:t>
      </w:r>
      <w:r>
        <w:t>UE measures the CSI for the la</w:t>
      </w:r>
      <w:r>
        <w:rPr>
          <w:rFonts w:hint="eastAsia"/>
        </w:rPr>
        <w:t>rg</w:t>
      </w:r>
      <w:r>
        <w:t>est CSI-</w:t>
      </w:r>
      <w:r>
        <w:rPr>
          <w:rFonts w:hint="eastAsia"/>
        </w:rPr>
        <w:t>RS</w:t>
      </w:r>
      <w:r>
        <w:t xml:space="preserve"> port number, while each row of the </w:t>
      </w:r>
      <w:r>
        <w:rPr>
          <w:rFonts w:hint="eastAsia"/>
        </w:rPr>
        <w:t>precoding matrix with smaller of port numbers</w:t>
      </w:r>
      <w:r>
        <w:t xml:space="preserve"> are extracted from the indicated row (i.e., port </w:t>
      </w:r>
      <w:r>
        <w:rPr>
          <w:rFonts w:hint="eastAsia"/>
        </w:rPr>
        <w:t>subset indication</w:t>
      </w:r>
      <w:r>
        <w:t>) of the PMI corresponding to the la</w:t>
      </w:r>
      <w:r>
        <w:rPr>
          <w:rFonts w:hint="eastAsia"/>
        </w:rPr>
        <w:t>rg</w:t>
      </w:r>
      <w:r>
        <w:t>est CSI-</w:t>
      </w:r>
      <w:r>
        <w:rPr>
          <w:rFonts w:hint="eastAsia"/>
        </w:rPr>
        <w:t>RS</w:t>
      </w:r>
      <w:r>
        <w:t xml:space="preserve"> port number.</w:t>
      </w:r>
    </w:p>
    <w:p>
      <w:pPr>
        <w:spacing w:before="120" w:after="120"/>
      </w:pPr>
      <w:r>
        <w:t xml:space="preserve">We further </w:t>
      </w:r>
      <w:r>
        <w:rPr>
          <w:rFonts w:hint="eastAsia"/>
        </w:rPr>
        <w:t>provide</w:t>
      </w:r>
      <w:r>
        <w:t xml:space="preserve"> some</w:t>
      </w:r>
      <w:r>
        <w:rPr>
          <w:rFonts w:hint="eastAsia"/>
        </w:rPr>
        <w:t xml:space="preserve"> simulation results of correlation between two precoding matrices, wherein one precoding matrix (e.g., 16 ports) is derived by a precoding matrix with larger number of ports</w:t>
      </w:r>
      <w:r>
        <w:t xml:space="preserve"> </w:t>
      </w:r>
      <w:r>
        <w:rPr>
          <w:rFonts w:hint="eastAsia"/>
        </w:rPr>
        <w:t>(e.g., 32 ports) and another precoding matrix is the real precoding matrix with smaller number of ports</w:t>
      </w:r>
      <w:r>
        <w:t xml:space="preserve"> </w:t>
      </w:r>
      <w:r>
        <w:rPr>
          <w:rFonts w:hint="eastAsia"/>
        </w:rPr>
        <w:t xml:space="preserve">(e.g, 16 ports). The rank is fixed in </w:t>
      </w:r>
      <w:r>
        <w:t>the</w:t>
      </w:r>
      <w:r>
        <w:rPr>
          <w:rFonts w:hint="eastAsia"/>
        </w:rPr>
        <w:t xml:space="preserve"> simulation</w:t>
      </w:r>
      <w:r>
        <w:t xml:space="preserve"> for the sake of simplification</w:t>
      </w:r>
      <w:r>
        <w:rPr>
          <w:rFonts w:hint="eastAsia"/>
        </w:rPr>
        <w:t>.</w:t>
      </w:r>
    </w:p>
    <w:p>
      <w:pPr>
        <w:spacing w:before="120" w:after="120"/>
      </w:pPr>
      <w:r>
        <w:rPr>
          <w:rFonts w:hint="eastAsia"/>
        </w:rPr>
        <w:t>D</w:t>
      </w:r>
      <w:r>
        <w:t xml:space="preserve">ifferent from the muting pattern in Figure </w:t>
      </w:r>
      <w:r>
        <w:rPr>
          <w:rFonts w:hint="eastAsia"/>
        </w:rPr>
        <w:t>5</w:t>
      </w:r>
      <w:r>
        <w:t xml:space="preserve"> in section 3.3.1.1, the muting pattern of gNB antenna configuration adaptation from </w:t>
      </w:r>
      <w:r>
        <w:rPr>
          <w:rFonts w:hint="eastAsia"/>
        </w:rPr>
        <w:t>32 ports</w:t>
      </w:r>
      <w:r>
        <w:t xml:space="preserve"> to</w:t>
      </w:r>
      <w:r>
        <w:rPr>
          <w:rFonts w:hint="eastAsia"/>
        </w:rPr>
        <w:t xml:space="preserve"> 16 ports </w:t>
      </w:r>
      <w:r>
        <w:t xml:space="preserve">in this section is shown in Figure </w:t>
      </w:r>
      <w:r>
        <w:rPr>
          <w:rFonts w:hint="eastAsia"/>
        </w:rPr>
        <w:t>12.</w:t>
      </w:r>
    </w:p>
    <w:p>
      <w:pPr>
        <w:spacing w:before="120" w:after="120"/>
        <w:jc w:val="center"/>
      </w:pPr>
      <w:r>
        <w:drawing>
          <wp:inline distT="0" distB="0" distL="0" distR="0">
            <wp:extent cx="3100070" cy="869315"/>
            <wp:effectExtent l="0" t="0" r="5080" b="6985"/>
            <wp:docPr id="75"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 name="图片 73"/>
                    <pic:cNvPicPr>
                      <a:picLocks noChangeAspect="1"/>
                    </pic:cNvPicPr>
                  </pic:nvPicPr>
                  <pic:blipFill>
                    <a:blip r:embed="rId89"/>
                    <a:stretch>
                      <a:fillRect/>
                    </a:stretch>
                  </pic:blipFill>
                  <pic:spPr>
                    <a:xfrm>
                      <a:off x="0" y="0"/>
                      <a:ext cx="3100070" cy="869315"/>
                    </a:xfrm>
                    <a:prstGeom prst="rect">
                      <a:avLst/>
                    </a:prstGeom>
                    <a:noFill/>
                    <a:ln>
                      <a:noFill/>
                    </a:ln>
                  </pic:spPr>
                </pic:pic>
              </a:graphicData>
            </a:graphic>
          </wp:inline>
        </w:drawing>
      </w:r>
    </w:p>
    <w:p>
      <w:pPr>
        <w:pStyle w:val="59"/>
        <w:spacing w:before="120" w:after="120"/>
        <w:rPr>
          <w:rFonts w:hint="default"/>
        </w:rPr>
      </w:pPr>
      <w:r>
        <w:t>Antenna muting pattern 4: adaptation from 32 ports to 16 ports</w:t>
      </w:r>
    </w:p>
    <w:p>
      <w:pPr>
        <w:spacing w:before="120" w:after="120"/>
      </w:pPr>
      <w:r>
        <w:rPr>
          <w:szCs w:val="21"/>
        </w:rPr>
        <w:t xml:space="preserve">The correlation performance between 32 port-precoding matrices and 16 port-precoding matrices (i.e., muting pattern 4 in Figure </w:t>
      </w:r>
      <w:r>
        <w:rPr>
          <w:rFonts w:hint="eastAsia"/>
          <w:szCs w:val="21"/>
        </w:rPr>
        <w:t>12</w:t>
      </w:r>
      <w:r>
        <w:rPr>
          <w:szCs w:val="21"/>
        </w:rPr>
        <w:t xml:space="preserve">) </w:t>
      </w:r>
      <w:r>
        <w:t>is provided in Figure 1</w:t>
      </w:r>
      <w:r>
        <w:rPr>
          <w:rFonts w:hint="eastAsia"/>
        </w:rPr>
        <w:t>3</w:t>
      </w:r>
      <w:r>
        <w:t>.</w:t>
      </w:r>
    </w:p>
    <w:tbl>
      <w:tblPr>
        <w:tblStyle w:val="19"/>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830"/>
        <w:gridCol w:w="487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830" w:type="dxa"/>
            <w:vAlign w:val="center"/>
          </w:tcPr>
          <w:p>
            <w:pPr>
              <w:pStyle w:val="16"/>
              <w:spacing w:before="120" w:after="120"/>
              <w:jc w:val="center"/>
              <w:rPr>
                <w:kern w:val="2"/>
                <w:sz w:val="18"/>
                <w:szCs w:val="16"/>
              </w:rPr>
            </w:pPr>
            <w:r>
              <w:drawing>
                <wp:inline distT="0" distB="0" distL="114300" distR="114300">
                  <wp:extent cx="2881630" cy="2160270"/>
                  <wp:effectExtent l="0" t="0" r="0" b="0"/>
                  <wp:docPr id="44"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50"/>
                          <pic:cNvPicPr>
                            <a:picLocks noChangeAspect="1"/>
                          </pic:cNvPicPr>
                        </pic:nvPicPr>
                        <pic:blipFill>
                          <a:blip r:embed="rId90"/>
                          <a:stretch>
                            <a:fillRect/>
                          </a:stretch>
                        </pic:blipFill>
                        <pic:spPr>
                          <a:xfrm>
                            <a:off x="0" y="0"/>
                            <a:ext cx="2881630" cy="2160270"/>
                          </a:xfrm>
                          <a:prstGeom prst="rect">
                            <a:avLst/>
                          </a:prstGeom>
                          <a:noFill/>
                          <a:ln>
                            <a:noFill/>
                          </a:ln>
                        </pic:spPr>
                      </pic:pic>
                    </a:graphicData>
                  </a:graphic>
                </wp:inline>
              </w:drawing>
            </w:r>
          </w:p>
        </w:tc>
        <w:tc>
          <w:tcPr>
            <w:tcW w:w="4830" w:type="dxa"/>
            <w:vAlign w:val="center"/>
          </w:tcPr>
          <w:p>
            <w:pPr>
              <w:spacing w:before="120" w:after="120"/>
              <w:jc w:val="center"/>
              <w:rPr>
                <w:sz w:val="18"/>
                <w:szCs w:val="16"/>
              </w:rPr>
            </w:pPr>
            <w:r>
              <w:drawing>
                <wp:inline distT="0" distB="0" distL="114300" distR="114300">
                  <wp:extent cx="2955290" cy="2160270"/>
                  <wp:effectExtent l="0" t="0" r="0" b="0"/>
                  <wp:docPr id="45"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51"/>
                          <pic:cNvPicPr>
                            <a:picLocks noChangeAspect="1"/>
                          </pic:cNvPicPr>
                        </pic:nvPicPr>
                        <pic:blipFill>
                          <a:blip r:embed="rId91"/>
                          <a:stretch>
                            <a:fillRect/>
                          </a:stretch>
                        </pic:blipFill>
                        <pic:spPr>
                          <a:xfrm>
                            <a:off x="0" y="0"/>
                            <a:ext cx="2955290" cy="2160270"/>
                          </a:xfrm>
                          <a:prstGeom prst="rect">
                            <a:avLst/>
                          </a:prstGeom>
                          <a:noFill/>
                          <a:ln>
                            <a:noFill/>
                          </a:ln>
                        </pic:spPr>
                      </pic:pic>
                    </a:graphicData>
                  </a:graphic>
                </wp:inline>
              </w:drawing>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830" w:type="dxa"/>
            <w:vAlign w:val="center"/>
          </w:tcPr>
          <w:p>
            <w:pPr>
              <w:pStyle w:val="16"/>
              <w:spacing w:before="120" w:after="120"/>
              <w:jc w:val="center"/>
              <w:rPr>
                <w:kern w:val="2"/>
              </w:rPr>
            </w:pPr>
            <w:r>
              <w:rPr>
                <w:rFonts w:hint="eastAsia"/>
                <w:kern w:val="2"/>
                <w:sz w:val="18"/>
                <w:szCs w:val="16"/>
              </w:rPr>
              <w:t>(a) Rank = 3</w:t>
            </w:r>
          </w:p>
        </w:tc>
        <w:tc>
          <w:tcPr>
            <w:tcW w:w="4830" w:type="dxa"/>
            <w:vAlign w:val="center"/>
          </w:tcPr>
          <w:p>
            <w:pPr>
              <w:spacing w:before="120" w:after="120"/>
              <w:jc w:val="center"/>
            </w:pPr>
            <w:r>
              <w:rPr>
                <w:rFonts w:hint="eastAsia"/>
                <w:sz w:val="18"/>
                <w:szCs w:val="16"/>
              </w:rPr>
              <w:t>(b) Rank = 4</w:t>
            </w:r>
          </w:p>
        </w:tc>
      </w:tr>
    </w:tbl>
    <w:p>
      <w:pPr>
        <w:pStyle w:val="59"/>
        <w:spacing w:before="120" w:after="120"/>
        <w:rPr>
          <w:rFonts w:hint="default"/>
        </w:rPr>
      </w:pPr>
      <w:r>
        <w:t>Correlation coefficient between 32 port-precoding matrices and 16 port-precoding matrices with different Ranks</w:t>
      </w:r>
    </w:p>
    <w:p>
      <w:pPr>
        <w:spacing w:before="120" w:after="120"/>
        <w:rPr>
          <w:bCs/>
        </w:rPr>
      </w:pPr>
      <w:r>
        <w:rPr>
          <w:rFonts w:hint="eastAsia"/>
        </w:rPr>
        <w:t>According to the simulation results, t</w:t>
      </w:r>
      <w:r>
        <w:rPr>
          <w:bCs/>
        </w:rPr>
        <w:t xml:space="preserve">he probability of the correlation coefficient </w:t>
      </w:r>
      <w:r>
        <w:rPr>
          <w:rFonts w:hint="eastAsia"/>
          <w:bCs/>
        </w:rPr>
        <w:t>of</w:t>
      </w:r>
      <w:r>
        <w:rPr>
          <w:bCs/>
        </w:rPr>
        <w:t xml:space="preserve"> 16</w:t>
      </w:r>
      <w:r>
        <w:rPr>
          <w:rFonts w:hint="eastAsia"/>
          <w:bCs/>
        </w:rPr>
        <w:t>-port</w:t>
      </w:r>
      <w:r>
        <w:rPr>
          <w:bCs/>
        </w:rPr>
        <w:t xml:space="preserve"> precoding </w:t>
      </w:r>
      <w:r>
        <w:rPr>
          <w:rFonts w:hint="eastAsia"/>
        </w:rPr>
        <w:t xml:space="preserve">matrices </w:t>
      </w:r>
      <w:r>
        <w:rPr>
          <w:bCs/>
        </w:rPr>
        <w:t xml:space="preserve">and 32-port precoding </w:t>
      </w:r>
      <w:r>
        <w:rPr>
          <w:rFonts w:hint="eastAsia"/>
          <w:bCs/>
        </w:rPr>
        <w:t xml:space="preserve">matrices </w:t>
      </w:r>
      <w:r>
        <w:rPr>
          <w:bCs/>
        </w:rPr>
        <w:t>that is greater than 0.6 is</w:t>
      </w:r>
      <w:r>
        <w:rPr>
          <w:rFonts w:hint="eastAsia"/>
          <w:bCs/>
        </w:rPr>
        <w:t xml:space="preserve"> less than 30% for rank of 3,4</w:t>
      </w:r>
      <w:r>
        <w:rPr>
          <w:bCs/>
        </w:rPr>
        <w:t>.</w:t>
      </w:r>
      <w:r>
        <w:rPr>
          <w:rFonts w:hint="eastAsia"/>
          <w:bCs/>
        </w:rPr>
        <w:t xml:space="preserve"> The</w:t>
      </w:r>
      <w:r>
        <w:rPr>
          <w:bCs/>
        </w:rPr>
        <w:t xml:space="preserve"> correlation is much lower than the evaluation in Figure </w:t>
      </w:r>
      <w:r>
        <w:rPr>
          <w:rFonts w:hint="eastAsia"/>
          <w:bCs/>
        </w:rPr>
        <w:t xml:space="preserve">8 </w:t>
      </w:r>
      <w:r>
        <w:rPr>
          <w:bCs/>
        </w:rPr>
        <w:t xml:space="preserve">due to the improper selection of ports. </w:t>
      </w:r>
    </w:p>
    <w:p>
      <w:pPr>
        <w:pStyle w:val="30"/>
        <w:spacing w:before="120" w:after="120"/>
        <w:rPr>
          <w:lang w:val="en-US" w:eastAsia="zh-CN"/>
        </w:rPr>
      </w:pPr>
      <w:bookmarkStart w:id="95" w:name="_Toc9955"/>
      <w:bookmarkStart w:id="96" w:name="_Toc2153"/>
      <w:bookmarkStart w:id="97" w:name="_Toc372"/>
      <w:bookmarkStart w:id="98" w:name="_Toc30566"/>
      <w:bookmarkStart w:id="99" w:name="_Toc3748"/>
      <w:bookmarkStart w:id="100" w:name="_Toc29826"/>
      <w:bookmarkStart w:id="101" w:name="_Toc9683"/>
      <w:r>
        <w:rPr>
          <w:rFonts w:hint="eastAsia"/>
          <w:lang w:val="en-US" w:eastAsia="zh-CN"/>
        </w:rPr>
        <w:t xml:space="preserve">The correlation between </w:t>
      </w:r>
      <w:r>
        <w:rPr>
          <w:bCs w:val="0"/>
        </w:rPr>
        <w:t>16</w:t>
      </w:r>
      <w:r>
        <w:rPr>
          <w:rFonts w:hint="eastAsia"/>
          <w:bCs w:val="0"/>
          <w:lang w:eastAsia="zh-CN"/>
        </w:rPr>
        <w:t>-port</w:t>
      </w:r>
      <w:r>
        <w:rPr>
          <w:bCs w:val="0"/>
        </w:rPr>
        <w:t xml:space="preserve"> </w:t>
      </w:r>
      <w:r>
        <w:rPr>
          <w:rFonts w:hint="eastAsia"/>
          <w:bCs w:val="0"/>
          <w:lang w:val="en-US" w:eastAsia="zh-CN"/>
        </w:rPr>
        <w:t xml:space="preserve">precoding matrix </w:t>
      </w:r>
      <w:r>
        <w:rPr>
          <w:bCs w:val="0"/>
        </w:rPr>
        <w:t xml:space="preserve">and 32-port </w:t>
      </w:r>
      <w:r>
        <w:rPr>
          <w:rFonts w:hint="eastAsia"/>
          <w:bCs w:val="0"/>
          <w:lang w:val="en-US" w:eastAsia="zh-CN"/>
        </w:rPr>
        <w:t xml:space="preserve">precoding matrix </w:t>
      </w:r>
      <w:r>
        <w:rPr>
          <w:rFonts w:hint="eastAsia"/>
          <w:lang w:val="en-US" w:eastAsia="zh-CN"/>
        </w:rPr>
        <w:t>with rank 3 or 4 is low</w:t>
      </w:r>
      <w:r>
        <w:rPr>
          <w:lang w:val="en-US" w:eastAsia="zh-CN"/>
        </w:rPr>
        <w:t xml:space="preserve"> with </w:t>
      </w:r>
      <w:r>
        <w:rPr>
          <w:bCs w:val="0"/>
        </w:rPr>
        <w:t>improper selection of ports</w:t>
      </w:r>
      <w:r>
        <w:rPr>
          <w:rFonts w:hint="eastAsia"/>
          <w:lang w:val="en-US" w:eastAsia="zh-CN"/>
        </w:rPr>
        <w:t>.</w:t>
      </w:r>
      <w:bookmarkEnd w:id="95"/>
      <w:bookmarkEnd w:id="96"/>
      <w:bookmarkEnd w:id="97"/>
      <w:bookmarkEnd w:id="98"/>
      <w:bookmarkEnd w:id="99"/>
      <w:bookmarkEnd w:id="100"/>
      <w:bookmarkEnd w:id="101"/>
      <w:r>
        <w:rPr>
          <w:rFonts w:hint="eastAsia"/>
          <w:lang w:val="en-US" w:eastAsia="zh-CN"/>
        </w:rPr>
        <w:t xml:space="preserve"> </w:t>
      </w:r>
    </w:p>
    <w:p>
      <w:pPr>
        <w:spacing w:before="120" w:after="120"/>
        <w:rPr>
          <w:color w:val="000000"/>
        </w:rPr>
      </w:pPr>
      <w:r>
        <w:rPr>
          <w:rFonts w:hint="eastAsia"/>
          <w:color w:val="000000"/>
        </w:rPr>
        <w:t>The simulation results show that different indication</w:t>
      </w:r>
      <w:r>
        <w:rPr>
          <w:color w:val="000000"/>
        </w:rPr>
        <w:t>s</w:t>
      </w:r>
      <w:r>
        <w:rPr>
          <w:rFonts w:hint="eastAsia"/>
          <w:color w:val="000000"/>
        </w:rPr>
        <w:t xml:space="preserve"> will generate different </w:t>
      </w:r>
      <w:r>
        <w:rPr>
          <w:rFonts w:hint="eastAsia"/>
        </w:rPr>
        <w:t xml:space="preserve">precoding matrix </w:t>
      </w:r>
      <w:r>
        <w:rPr>
          <w:rFonts w:hint="eastAsia"/>
          <w:color w:val="000000"/>
        </w:rPr>
        <w:t>and lead to different correlation</w:t>
      </w:r>
      <w:r>
        <w:rPr>
          <w:color w:val="000000"/>
        </w:rPr>
        <w:t xml:space="preserve"> performance</w:t>
      </w:r>
      <w:r>
        <w:rPr>
          <w:rFonts w:hint="eastAsia"/>
          <w:color w:val="000000"/>
        </w:rPr>
        <w:t xml:space="preserve">. </w:t>
      </w:r>
    </w:p>
    <w:p>
      <w:pPr>
        <w:pStyle w:val="30"/>
        <w:spacing w:before="120" w:after="120"/>
        <w:rPr>
          <w:lang w:val="en-US" w:eastAsia="zh-CN"/>
        </w:rPr>
      </w:pPr>
      <w:bookmarkStart w:id="102" w:name="_Toc15129"/>
      <w:bookmarkStart w:id="103" w:name="_Toc4934"/>
      <w:bookmarkStart w:id="104" w:name="_Toc11390"/>
      <w:r>
        <w:rPr>
          <w:rFonts w:hint="eastAsia"/>
          <w:lang w:val="en-US" w:eastAsia="zh-CN"/>
        </w:rPr>
        <w:t xml:space="preserve">Different port subset indications will generate different </w:t>
      </w:r>
      <w:r>
        <w:rPr>
          <w:rFonts w:hint="eastAsia"/>
        </w:rPr>
        <w:t>precoding matrix</w:t>
      </w:r>
      <w:r>
        <w:rPr>
          <w:rFonts w:hint="eastAsia"/>
          <w:lang w:val="en-US" w:eastAsia="zh-CN"/>
        </w:rPr>
        <w:t xml:space="preserve"> and lead to different correlation</w:t>
      </w:r>
      <w:r>
        <w:rPr>
          <w:lang w:val="en-US" w:eastAsia="zh-CN"/>
        </w:rPr>
        <w:t xml:space="preserve"> </w:t>
      </w:r>
      <w:r>
        <w:rPr>
          <w:rFonts w:hint="eastAsia"/>
          <w:lang w:val="en-US" w:eastAsia="zh-CN"/>
        </w:rPr>
        <w:t>per</w:t>
      </w:r>
      <w:r>
        <w:rPr>
          <w:lang w:val="en-US" w:eastAsia="zh-CN"/>
        </w:rPr>
        <w:t>formance</w:t>
      </w:r>
      <w:r>
        <w:rPr>
          <w:rFonts w:hint="eastAsia"/>
          <w:lang w:val="en-US" w:eastAsia="zh-CN"/>
        </w:rPr>
        <w:t>.</w:t>
      </w:r>
      <w:bookmarkEnd w:id="102"/>
      <w:bookmarkEnd w:id="103"/>
      <w:bookmarkEnd w:id="104"/>
    </w:p>
    <w:p>
      <w:pPr>
        <w:spacing w:before="120" w:after="120"/>
        <w:rPr>
          <w:color w:val="000000"/>
        </w:rPr>
      </w:pPr>
      <w:r>
        <w:rPr>
          <w:rFonts w:hint="eastAsia"/>
          <w:color w:val="000000"/>
        </w:rPr>
        <w:t>Hence, although the port subset indication can flexibly indicate a subset of ports, the port subset indication should follow certain rules and cannot be arbitrarily indicated to ensure that system performance is not severely affected. The rules of port subset indication should be carefully studied.</w:t>
      </w:r>
    </w:p>
    <w:p>
      <w:pPr>
        <w:pStyle w:val="31"/>
        <w:spacing w:before="120" w:after="120"/>
        <w:rPr>
          <w:lang w:val="en-US" w:eastAsia="zh-CN"/>
        </w:rPr>
      </w:pPr>
      <w:bookmarkStart w:id="105" w:name="_Toc26540"/>
      <w:r>
        <w:rPr>
          <w:rFonts w:hint="eastAsia"/>
          <w:lang w:val="en-US" w:eastAsia="zh-CN"/>
        </w:rPr>
        <w:t>The port subset indication should follow certain rules and cannot be arbitrarily indicated to ensure that system performance is not severely affected.</w:t>
      </w:r>
      <w:bookmarkEnd w:id="105"/>
    </w:p>
    <w:p>
      <w:pPr>
        <w:spacing w:before="120" w:after="120"/>
      </w:pPr>
      <w:r>
        <w:rPr>
          <w:rFonts w:hint="eastAsia"/>
        </w:rPr>
        <w:t xml:space="preserve">Firstly, the codebook designed in TS 38.214 is based on N1, N2. Thus, </w:t>
      </w:r>
      <w:r>
        <w:t>t</w:t>
      </w:r>
      <w:r>
        <w:rPr>
          <w:rFonts w:hint="eastAsia"/>
        </w:rPr>
        <w:t xml:space="preserve">he </w:t>
      </w:r>
      <w:r>
        <w:t xml:space="preserve">port selection </w:t>
      </w:r>
      <w:r>
        <w:rPr>
          <w:rFonts w:hint="eastAsia"/>
        </w:rPr>
        <w:t xml:space="preserve">(i.e., via bitmap) should not violate the </w:t>
      </w:r>
      <w:r>
        <w:t xml:space="preserve">supported </w:t>
      </w:r>
      <w:r>
        <w:rPr>
          <w:rFonts w:hint="eastAsia"/>
        </w:rPr>
        <w:t>(N1,</w:t>
      </w:r>
      <w:r>
        <w:t xml:space="preserve"> </w:t>
      </w:r>
      <w:r>
        <w:rPr>
          <w:rFonts w:hint="eastAsia"/>
        </w:rPr>
        <w:t>N2)</w:t>
      </w:r>
      <w:r>
        <w:t xml:space="preserve"> in</w:t>
      </w:r>
      <w:r>
        <w:rPr>
          <w:rFonts w:hint="eastAsia"/>
        </w:rPr>
        <w:t xml:space="preserve"> legacy</w:t>
      </w:r>
      <w:r>
        <w:t xml:space="preserve"> specification</w:t>
      </w:r>
      <w:r>
        <w:rPr>
          <w:rFonts w:hint="eastAsia"/>
        </w:rPr>
        <w:t xml:space="preserve">. </w:t>
      </w:r>
    </w:p>
    <w:p>
      <w:pPr>
        <w:spacing w:before="120" w:after="120"/>
      </w:pPr>
      <w:r>
        <w:rPr>
          <w:rFonts w:hint="eastAsia"/>
        </w:rPr>
        <w:t>Secondly, according to the structure of the precoding matrix designed in TS 38.214, there are two ty</w:t>
      </w:r>
      <w:r>
        <w:t>pes of PMI</w:t>
      </w:r>
      <w:r>
        <w:rPr>
          <w:rFonts w:hint="eastAsia"/>
        </w:rPr>
        <w:t>, one</w:t>
      </w:r>
      <w:r>
        <w:t xml:space="preserve"> (which is composed of four parts)</w:t>
      </w:r>
      <w:r>
        <w:rPr>
          <w:rFonts w:hint="eastAsia"/>
        </w:rPr>
        <w:t xml:space="preserve"> is used when </w:t>
      </w:r>
      <w:r>
        <w:t xml:space="preserve">number of layers is three or four, and </w:t>
      </w:r>
      <w:r>
        <w:rPr>
          <w:rFonts w:hint="eastAsia"/>
        </w:rPr>
        <w:t>number of ports</w:t>
      </w:r>
      <w:r>
        <w:t xml:space="preserve"> </w:t>
      </w:r>
      <w:r>
        <w:rPr>
          <w:rFonts w:hint="eastAsia"/>
        </w:rPr>
        <w:t>(</w:t>
      </w:r>
      <w:r>
        <w:rPr>
          <w:i/>
          <w:iCs/>
        </w:rPr>
        <w:t>P</w:t>
      </w:r>
      <w:r>
        <w:rPr>
          <w:i/>
          <w:iCs/>
          <w:vertAlign w:val="subscript"/>
        </w:rPr>
        <w:t>CSI-RS</w:t>
      </w:r>
      <w:r>
        <w:rPr>
          <w:rFonts w:hint="eastAsia"/>
        </w:rPr>
        <w:t>)</w:t>
      </w:r>
      <w:r>
        <w:t xml:space="preserve"> is not less than 16</w:t>
      </w:r>
      <w:r>
        <w:rPr>
          <w:rFonts w:hint="eastAsia"/>
        </w:rPr>
        <w:t xml:space="preserve">, and </w:t>
      </w:r>
      <w:r>
        <w:t xml:space="preserve">another </w:t>
      </w:r>
      <w:r>
        <w:rPr>
          <w:rFonts w:hint="eastAsia"/>
        </w:rPr>
        <w:t>one</w:t>
      </w:r>
      <w:r>
        <w:t xml:space="preserve"> (which is composed of two parts)</w:t>
      </w:r>
      <w:r>
        <w:rPr>
          <w:rFonts w:hint="eastAsia"/>
        </w:rPr>
        <w:t xml:space="preserve"> is used for other</w:t>
      </w:r>
      <w:r>
        <w:t xml:space="preserve"> case</w:t>
      </w:r>
      <w:r>
        <w:rPr>
          <w:rFonts w:hint="eastAsia"/>
        </w:rPr>
        <w:t>s. The derived precoding matrix</w:t>
      </w:r>
      <w:r>
        <w:t xml:space="preserve"> with smaller number of CSI-RS ports</w:t>
      </w:r>
      <w:r>
        <w:rPr>
          <w:rFonts w:hint="eastAsia"/>
        </w:rPr>
        <w:t xml:space="preserve"> should also follow these structures. Otherwise, the correlation between the derived precoding matrix and the real precoding matrix will </w:t>
      </w:r>
      <w:r>
        <w:t>be poor</w:t>
      </w:r>
      <w:r>
        <w:rPr>
          <w:rFonts w:hint="eastAsia"/>
        </w:rPr>
        <w:t>, and the system performance will be seriously impacted.</w:t>
      </w:r>
    </w:p>
    <w:p>
      <w:pPr>
        <w:spacing w:before="120" w:after="120"/>
        <w:rPr>
          <w:rFonts w:cs="Arial"/>
          <w:strike/>
        </w:rPr>
      </w:pPr>
      <w:r>
        <w:rPr>
          <w:rFonts w:hint="eastAsia"/>
        </w:rPr>
        <w:t xml:space="preserve">For </w:t>
      </w:r>
      <w:r>
        <w:t>example, if the codebookType is set to ‘typeI</w:t>
      </w:r>
      <w:r>
        <w:rPr>
          <w:rFonts w:hint="eastAsia"/>
        </w:rPr>
        <w:t>-</w:t>
      </w:r>
      <w:r>
        <w:t xml:space="preserve">SinglePanel’ the number of layers is three or four, and </w:t>
      </w:r>
      <w:r>
        <w:rPr>
          <w:rFonts w:hint="eastAsia"/>
        </w:rPr>
        <w:t>number of ports</w:t>
      </w:r>
      <w:r>
        <w:t xml:space="preserve"> </w:t>
      </w:r>
      <w:r>
        <w:rPr>
          <w:rFonts w:hint="eastAsia"/>
        </w:rPr>
        <w:t>(</w:t>
      </w:r>
      <w:r>
        <w:rPr>
          <w:i/>
          <w:iCs/>
        </w:rPr>
        <w:t>P</w:t>
      </w:r>
      <w:r>
        <w:rPr>
          <w:i/>
          <w:iCs/>
          <w:vertAlign w:val="subscript"/>
        </w:rPr>
        <w:t>CSI-RS</w:t>
      </w:r>
      <w:r>
        <w:rPr>
          <w:rFonts w:hint="eastAsia"/>
        </w:rPr>
        <w:t>)</w:t>
      </w:r>
      <w:r>
        <w:t xml:space="preserve"> is not less than 16, the </w:t>
      </w:r>
      <w:r>
        <w:rPr>
          <w:rFonts w:hint="eastAsia"/>
        </w:rPr>
        <w:t>precoding matrix</w:t>
      </w:r>
      <w:r>
        <w:t xml:space="preserve"> is: </w:t>
      </w:r>
      <w:r>
        <w:rPr>
          <w:rFonts w:hint="eastAsia"/>
          <w:color w:val="000000"/>
          <w:position w:val="-58"/>
        </w:rPr>
        <w:object>
          <v:shape id="_x0000_i1063" o:spt="75" type="#_x0000_t75" style="height:63pt;width:150pt;" o:ole="t" filled="f" o:preferrelative="t" stroked="f" coordsize="21600,21600">
            <v:path/>
            <v:fill on="f" focussize="0,0"/>
            <v:stroke on="f" joinstyle="miter"/>
            <v:imagedata r:id="rId93" o:title=""/>
            <o:lock v:ext="edit" aspectratio="t"/>
            <w10:wrap type="none"/>
            <w10:anchorlock/>
          </v:shape>
          <o:OLEObject Type="Embed" ProgID="Equation.3" ShapeID="_x0000_i1063" DrawAspect="Content" ObjectID="_1468075763" r:id="rId92">
            <o:LockedField>false</o:LockedField>
          </o:OLEObject>
        </w:object>
      </w:r>
      <w:r>
        <w:t xml:space="preserve">, where L is the number of layers, the number of rows in </w:t>
      </w:r>
      <w:r>
        <w:rPr>
          <w:rFonts w:hint="eastAsia"/>
        </w:rPr>
        <w:t>precoding matrix</w:t>
      </w:r>
      <w:r>
        <w:t xml:space="preserve"> is same as P</w:t>
      </w:r>
      <w:r>
        <w:rPr>
          <w:vertAlign w:val="subscript"/>
        </w:rPr>
        <w:t>CSI-RS</w:t>
      </w:r>
      <w:r>
        <w:t xml:space="preserve">, the number of columns in </w:t>
      </w:r>
      <w:r>
        <w:rPr>
          <w:rFonts w:hint="eastAsia"/>
        </w:rPr>
        <w:t>precoding matrix</w:t>
      </w:r>
      <w:r>
        <w:t xml:space="preserve"> is equal to the number of layers. The </w:t>
      </w:r>
      <w:r>
        <w:rPr>
          <w:rFonts w:hint="eastAsia"/>
        </w:rPr>
        <w:t>precoding matrix</w:t>
      </w:r>
      <w:r>
        <w:t xml:space="preserve"> includes four parts</w:t>
      </w:r>
      <w:r>
        <w:rPr>
          <w:rFonts w:cs="Arial"/>
          <w:iCs/>
          <w:lang w:eastAsia="en-US"/>
        </w:rPr>
        <w:t>, where</w:t>
      </w:r>
      <w:r>
        <w:rPr>
          <w:rFonts w:hint="eastAsia" w:cs="Arial"/>
          <w:iCs/>
        </w:rPr>
        <w:t xml:space="preserve"> </w:t>
      </w:r>
      <w:r>
        <w:rPr>
          <w:rFonts w:cs="Arial"/>
        </w:rPr>
        <w:t>t</w:t>
      </w:r>
      <w:r>
        <w:rPr>
          <w:rFonts w:cs="Arial"/>
          <w:lang w:eastAsia="en-US"/>
        </w:rPr>
        <w:t>he first two parts correspond to one polarization direction and the last two parts correspond to another polarization direction</w:t>
      </w:r>
      <w:r>
        <w:rPr>
          <w:rFonts w:hint="eastAsia" w:cs="Arial"/>
        </w:rPr>
        <w:t>.</w:t>
      </w:r>
    </w:p>
    <w:p>
      <w:pPr>
        <w:spacing w:before="120" w:after="120"/>
        <w:rPr>
          <w:color w:val="000000"/>
        </w:rPr>
      </w:pPr>
      <w:r>
        <w:rPr>
          <w:rFonts w:hint="eastAsia"/>
          <w:color w:val="000000"/>
        </w:rPr>
        <w:t xml:space="preserve">The reason about the low correlation between two </w:t>
      </w:r>
      <w:r>
        <w:rPr>
          <w:rFonts w:hint="eastAsia"/>
        </w:rPr>
        <w:t xml:space="preserve">precoding </w:t>
      </w:r>
      <w:r>
        <w:rPr>
          <w:rFonts w:hint="eastAsia"/>
          <w:bCs/>
        </w:rPr>
        <w:t xml:space="preserve">matrices </w:t>
      </w:r>
      <w:r>
        <w:rPr>
          <w:rFonts w:hint="eastAsia"/>
          <w:color w:val="000000"/>
        </w:rPr>
        <w:t xml:space="preserve">when rank = 3 or 4 </w:t>
      </w:r>
      <w:r>
        <w:rPr>
          <w:rFonts w:hint="eastAsia"/>
          <w:bCs/>
        </w:rPr>
        <w:t xml:space="preserve">for antenna muting pattern 4 </w:t>
      </w:r>
      <w:r>
        <w:rPr>
          <w:rFonts w:hint="eastAsia"/>
          <w:color w:val="000000"/>
        </w:rPr>
        <w:t xml:space="preserve">is that the derived </w:t>
      </w:r>
      <w:r>
        <w:rPr>
          <w:rFonts w:hint="eastAsia"/>
        </w:rPr>
        <w:t xml:space="preserve">precoding matrix </w:t>
      </w:r>
      <w:r>
        <w:rPr>
          <w:rFonts w:hint="eastAsia"/>
          <w:color w:val="000000"/>
        </w:rPr>
        <w:t xml:space="preserve">does not </w:t>
      </w:r>
      <w:r>
        <w:rPr>
          <w:color w:val="000000"/>
        </w:rPr>
        <w:t>follow</w:t>
      </w:r>
      <w:r>
        <w:rPr>
          <w:rFonts w:hint="eastAsia"/>
          <w:color w:val="000000"/>
        </w:rPr>
        <w:t xml:space="preserve"> the structure of the </w:t>
      </w:r>
      <w:r>
        <w:rPr>
          <w:rFonts w:hint="eastAsia"/>
        </w:rPr>
        <w:t>precoding matrix</w:t>
      </w:r>
      <w:r>
        <w:t xml:space="preserve"> defined in TS 38.214</w:t>
      </w:r>
      <w:r>
        <w:rPr>
          <w:rFonts w:hint="eastAsia"/>
          <w:color w:val="000000"/>
        </w:rPr>
        <w:t xml:space="preserve">. For example, as shown in Figure 14, the derived </w:t>
      </w:r>
      <w:r>
        <w:rPr>
          <w:rFonts w:hint="eastAsia"/>
        </w:rPr>
        <w:t xml:space="preserve">precoding matrix </w:t>
      </w:r>
      <w:r>
        <w:rPr>
          <w:rFonts w:hint="eastAsia"/>
          <w:color w:val="000000"/>
        </w:rPr>
        <w:t xml:space="preserve">with 16 ports </w:t>
      </w:r>
      <w:r>
        <w:rPr>
          <w:color w:val="000000"/>
        </w:rPr>
        <w:t xml:space="preserve">based on the port selection in the evaluation </w:t>
      </w:r>
      <w:r>
        <w:rPr>
          <w:rFonts w:hint="eastAsia"/>
          <w:color w:val="000000"/>
        </w:rPr>
        <w:t xml:space="preserve">only </w:t>
      </w:r>
      <w:r>
        <w:rPr>
          <w:color w:val="000000"/>
        </w:rPr>
        <w:t>comprises of</w:t>
      </w:r>
      <w:r>
        <w:rPr>
          <w:rFonts w:hint="eastAsia"/>
          <w:color w:val="000000"/>
        </w:rPr>
        <w:t xml:space="preserve"> part </w:t>
      </w:r>
      <w:r>
        <w:rPr>
          <w:color w:val="000000"/>
        </w:rPr>
        <w:t>#</w:t>
      </w:r>
      <w:r>
        <w:rPr>
          <w:rFonts w:hint="eastAsia"/>
          <w:color w:val="000000"/>
        </w:rPr>
        <w:t xml:space="preserve">1 and part </w:t>
      </w:r>
      <w:r>
        <w:rPr>
          <w:color w:val="000000"/>
        </w:rPr>
        <w:t>#</w:t>
      </w:r>
      <w:r>
        <w:rPr>
          <w:rFonts w:hint="eastAsia"/>
          <w:color w:val="000000"/>
        </w:rPr>
        <w:t xml:space="preserve">3 of the </w:t>
      </w:r>
      <w:r>
        <w:rPr>
          <w:rFonts w:hint="eastAsia"/>
        </w:rPr>
        <w:t xml:space="preserve">precoding matrix </w:t>
      </w:r>
      <w:r>
        <w:rPr>
          <w:rFonts w:hint="eastAsia"/>
          <w:color w:val="000000"/>
        </w:rPr>
        <w:t>with 32 ports. Hence, the correlation is low.</w:t>
      </w:r>
    </w:p>
    <w:p>
      <w:pPr>
        <w:spacing w:before="120" w:after="120"/>
        <w:jc w:val="center"/>
      </w:pPr>
      <w:r>
        <w:drawing>
          <wp:inline distT="0" distB="0" distL="114300" distR="114300">
            <wp:extent cx="3089275" cy="2164715"/>
            <wp:effectExtent l="0" t="0" r="15875" b="6985"/>
            <wp:docPr id="9"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44"/>
                    <pic:cNvPicPr>
                      <a:picLocks noChangeAspect="1"/>
                    </pic:cNvPicPr>
                  </pic:nvPicPr>
                  <pic:blipFill>
                    <a:blip r:embed="rId94"/>
                    <a:stretch>
                      <a:fillRect/>
                    </a:stretch>
                  </pic:blipFill>
                  <pic:spPr>
                    <a:xfrm>
                      <a:off x="0" y="0"/>
                      <a:ext cx="3089275" cy="2164715"/>
                    </a:xfrm>
                    <a:prstGeom prst="rect">
                      <a:avLst/>
                    </a:prstGeom>
                    <a:noFill/>
                    <a:ln>
                      <a:noFill/>
                    </a:ln>
                  </pic:spPr>
                </pic:pic>
              </a:graphicData>
            </a:graphic>
          </wp:inline>
        </w:drawing>
      </w:r>
    </w:p>
    <w:p>
      <w:pPr>
        <w:pStyle w:val="59"/>
        <w:spacing w:before="120" w:after="120"/>
        <w:rPr>
          <w:rFonts w:hint="default"/>
        </w:rPr>
      </w:pPr>
      <w:r>
        <w:t xml:space="preserve">One example of derived PMI based on the port selection </w:t>
      </w:r>
      <w:r>
        <w:rPr>
          <w:rFonts w:hint="default"/>
        </w:rPr>
        <w:t>for antenna muting pattern 4</w:t>
      </w:r>
    </w:p>
    <w:p>
      <w:pPr>
        <w:spacing w:before="120" w:after="120"/>
        <w:rPr>
          <w:color w:val="000000"/>
        </w:rPr>
      </w:pPr>
      <w:r>
        <w:rPr>
          <w:color w:val="000000"/>
        </w:rPr>
        <w:t xml:space="preserve">However, for the antenna muting pattern </w:t>
      </w:r>
      <w:r>
        <w:rPr>
          <w:rFonts w:hint="eastAsia"/>
          <w:color w:val="000000"/>
        </w:rPr>
        <w:t>1</w:t>
      </w:r>
      <w:r>
        <w:rPr>
          <w:color w:val="000000"/>
        </w:rPr>
        <w:t xml:space="preserve"> in Figure </w:t>
      </w:r>
      <w:r>
        <w:rPr>
          <w:rFonts w:hint="eastAsia"/>
          <w:color w:val="000000"/>
        </w:rPr>
        <w:t>5</w:t>
      </w:r>
      <w:r>
        <w:rPr>
          <w:color w:val="000000"/>
        </w:rPr>
        <w:t xml:space="preserve">, </w:t>
      </w:r>
      <w:r>
        <w:rPr>
          <w:rFonts w:hint="eastAsia"/>
          <w:color w:val="000000"/>
        </w:rPr>
        <w:t>the derived precoding matrix with 16 ports</w:t>
      </w:r>
      <w:r>
        <w:rPr>
          <w:color w:val="000000"/>
        </w:rPr>
        <w:t xml:space="preserve"> based on the port selection</w:t>
      </w:r>
      <w:r>
        <w:rPr>
          <w:rFonts w:hint="eastAsia"/>
          <w:color w:val="000000"/>
        </w:rPr>
        <w:t xml:space="preserve"> comprises</w:t>
      </w:r>
      <w:r>
        <w:rPr>
          <w:color w:val="000000"/>
        </w:rPr>
        <w:t xml:space="preserve"> a</w:t>
      </w:r>
      <w:r>
        <w:rPr>
          <w:rFonts w:hint="eastAsia"/>
          <w:color w:val="000000"/>
        </w:rPr>
        <w:t xml:space="preserve"> subset of each part of</w:t>
      </w:r>
      <w:r>
        <w:rPr>
          <w:color w:val="000000"/>
        </w:rPr>
        <w:t xml:space="preserve"> the</w:t>
      </w:r>
      <w:r>
        <w:rPr>
          <w:rFonts w:hint="eastAsia"/>
          <w:color w:val="000000"/>
        </w:rPr>
        <w:t xml:space="preserve"> precoding matrix with 32 ports, </w:t>
      </w:r>
      <w:r>
        <w:rPr>
          <w:color w:val="000000"/>
        </w:rPr>
        <w:t xml:space="preserve">which </w:t>
      </w:r>
      <w:r>
        <w:rPr>
          <w:rFonts w:hint="eastAsia"/>
          <w:color w:val="000000"/>
        </w:rPr>
        <w:t>follow</w:t>
      </w:r>
      <w:r>
        <w:rPr>
          <w:color w:val="000000"/>
        </w:rPr>
        <w:t>s</w:t>
      </w:r>
      <w:r>
        <w:rPr>
          <w:rFonts w:hint="eastAsia"/>
          <w:color w:val="000000"/>
        </w:rPr>
        <w:t xml:space="preserve"> the structure of precoding matrix in TS 38.214</w:t>
      </w:r>
      <w:r>
        <w:rPr>
          <w:color w:val="000000"/>
        </w:rPr>
        <w:t xml:space="preserve">. Therefore, </w:t>
      </w:r>
      <w:r>
        <w:rPr>
          <w:rFonts w:hint="eastAsia"/>
          <w:color w:val="000000"/>
        </w:rPr>
        <w:t>correlation</w:t>
      </w:r>
      <w:r>
        <w:rPr>
          <w:color w:val="000000"/>
        </w:rPr>
        <w:t xml:space="preserve"> and performance</w:t>
      </w:r>
      <w:r>
        <w:rPr>
          <w:rFonts w:hint="eastAsia"/>
          <w:color w:val="000000"/>
        </w:rPr>
        <w:t xml:space="preserve"> are better.</w:t>
      </w:r>
    </w:p>
    <w:p>
      <w:pPr>
        <w:spacing w:before="120" w:after="120"/>
        <w:jc w:val="center"/>
      </w:pPr>
      <w:r>
        <w:drawing>
          <wp:inline distT="0" distB="0" distL="114300" distR="114300">
            <wp:extent cx="3120390" cy="2153920"/>
            <wp:effectExtent l="0" t="0" r="3810" b="17780"/>
            <wp:docPr id="13"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45"/>
                    <pic:cNvPicPr>
                      <a:picLocks noChangeAspect="1"/>
                    </pic:cNvPicPr>
                  </pic:nvPicPr>
                  <pic:blipFill>
                    <a:blip r:embed="rId95"/>
                    <a:stretch>
                      <a:fillRect/>
                    </a:stretch>
                  </pic:blipFill>
                  <pic:spPr>
                    <a:xfrm>
                      <a:off x="0" y="0"/>
                      <a:ext cx="3120390" cy="2153920"/>
                    </a:xfrm>
                    <a:prstGeom prst="rect">
                      <a:avLst/>
                    </a:prstGeom>
                    <a:noFill/>
                    <a:ln>
                      <a:noFill/>
                    </a:ln>
                  </pic:spPr>
                </pic:pic>
              </a:graphicData>
            </a:graphic>
          </wp:inline>
        </w:drawing>
      </w:r>
    </w:p>
    <w:p>
      <w:pPr>
        <w:pStyle w:val="59"/>
        <w:spacing w:before="120" w:after="120"/>
        <w:rPr>
          <w:rFonts w:hint="default"/>
        </w:rPr>
      </w:pPr>
      <w:r>
        <w:t xml:space="preserve">Another example of derived PMI based on the port selection </w:t>
      </w:r>
      <w:r>
        <w:rPr>
          <w:rFonts w:hint="default"/>
        </w:rPr>
        <w:t xml:space="preserve">for antenna </w:t>
      </w:r>
      <w:r>
        <w:t xml:space="preserve">muting pattern </w:t>
      </w:r>
      <w:r>
        <w:rPr>
          <w:rFonts w:hint="default"/>
        </w:rPr>
        <w:t>1</w:t>
      </w:r>
    </w:p>
    <w:p>
      <w:pPr>
        <w:spacing w:before="120" w:after="120"/>
      </w:pPr>
      <w:r>
        <w:rPr>
          <w:rFonts w:hint="eastAsia"/>
        </w:rPr>
        <w:t xml:space="preserve">To summarize, if only one PMI is reported for multiple number of ports, </w:t>
      </w:r>
      <w:r>
        <w:t xml:space="preserve">the port selection should observe </w:t>
      </w:r>
      <w:r>
        <w:rPr>
          <w:rFonts w:hint="eastAsia"/>
        </w:rPr>
        <w:t xml:space="preserve">the following </w:t>
      </w:r>
      <w:r>
        <w:t>principles</w:t>
      </w:r>
      <w:r>
        <w:rPr>
          <w:rFonts w:hint="eastAsia"/>
        </w:rPr>
        <w:t xml:space="preserve">: </w:t>
      </w:r>
    </w:p>
    <w:p>
      <w:pPr>
        <w:numPr>
          <w:ilvl w:val="0"/>
          <w:numId w:val="23"/>
        </w:numPr>
        <w:spacing w:before="120" w:after="120"/>
      </w:pPr>
      <w:r>
        <w:rPr>
          <w:rFonts w:hint="eastAsia"/>
        </w:rPr>
        <w:t>The selected ports should follow a valid (N1,</w:t>
      </w:r>
      <w:r>
        <w:t xml:space="preserve"> </w:t>
      </w:r>
      <w:r>
        <w:rPr>
          <w:rFonts w:hint="eastAsia"/>
        </w:rPr>
        <w:t>N2);</w:t>
      </w:r>
    </w:p>
    <w:p>
      <w:pPr>
        <w:numPr>
          <w:ilvl w:val="0"/>
          <w:numId w:val="23"/>
        </w:numPr>
        <w:spacing w:before="120" w:after="120"/>
      </w:pPr>
      <w:r>
        <w:rPr>
          <w:rFonts w:hint="eastAsia"/>
        </w:rPr>
        <w:t xml:space="preserve">The </w:t>
      </w:r>
      <w:r>
        <w:t>extracted</w:t>
      </w:r>
      <w:r>
        <w:rPr>
          <w:rFonts w:hint="eastAsia"/>
        </w:rPr>
        <w:t xml:space="preserve"> precoding matrix should follow the structure of the precoding matrix in TS 38.214.</w:t>
      </w:r>
    </w:p>
    <w:p>
      <w:pPr>
        <w:pStyle w:val="30"/>
        <w:spacing w:before="120" w:after="120"/>
        <w:rPr>
          <w:lang w:val="en-US" w:eastAsia="zh-CN"/>
        </w:rPr>
      </w:pPr>
      <w:bookmarkStart w:id="106" w:name="_Toc342"/>
      <w:bookmarkStart w:id="107" w:name="_Toc19900"/>
      <w:bookmarkStart w:id="108" w:name="_Toc21968"/>
      <w:bookmarkStart w:id="109" w:name="_Toc14857"/>
      <w:bookmarkStart w:id="110" w:name="_Toc1022"/>
      <w:bookmarkStart w:id="111" w:name="_Toc19341"/>
      <w:bookmarkStart w:id="112" w:name="_Toc32663"/>
      <w:r>
        <w:t>I</w:t>
      </w:r>
      <w:r>
        <w:rPr>
          <w:lang w:val="en-US" w:eastAsia="zh-CN"/>
        </w:rPr>
        <w:t>f only one</w:t>
      </w:r>
      <w:r>
        <w:rPr>
          <w:rFonts w:hint="eastAsia"/>
          <w:lang w:val="en-US" w:eastAsia="zh-CN"/>
        </w:rPr>
        <w:t xml:space="preserve"> common</w:t>
      </w:r>
      <w:r>
        <w:rPr>
          <w:lang w:val="en-US" w:eastAsia="zh-CN"/>
        </w:rPr>
        <w:t xml:space="preserve"> PMI is reported for multiple number of ports, the port </w:t>
      </w:r>
      <w:r>
        <w:rPr>
          <w:rFonts w:hint="eastAsia"/>
          <w:lang w:val="en-US" w:eastAsia="zh-CN"/>
        </w:rPr>
        <w:t xml:space="preserve">subset indication </w:t>
      </w:r>
      <w:r>
        <w:rPr>
          <w:lang w:val="en-US" w:eastAsia="zh-CN"/>
        </w:rPr>
        <w:t>should observe the following principles:</w:t>
      </w:r>
      <w:bookmarkEnd w:id="106"/>
      <w:bookmarkEnd w:id="107"/>
      <w:bookmarkEnd w:id="108"/>
      <w:bookmarkEnd w:id="109"/>
      <w:bookmarkEnd w:id="110"/>
      <w:bookmarkEnd w:id="111"/>
      <w:bookmarkEnd w:id="112"/>
      <w:r>
        <w:rPr>
          <w:lang w:val="en-US" w:eastAsia="zh-CN"/>
        </w:rPr>
        <w:t xml:space="preserve"> </w:t>
      </w:r>
    </w:p>
    <w:p>
      <w:pPr>
        <w:pStyle w:val="30"/>
        <w:numPr>
          <w:ilvl w:val="0"/>
          <w:numId w:val="24"/>
        </w:numPr>
        <w:spacing w:before="120" w:after="120"/>
        <w:rPr>
          <w:lang w:val="en-US" w:eastAsia="zh-CN"/>
        </w:rPr>
      </w:pPr>
      <w:bookmarkStart w:id="113" w:name="_Toc8993"/>
      <w:bookmarkStart w:id="114" w:name="_Toc21180"/>
      <w:bookmarkStart w:id="115" w:name="_Toc8798"/>
      <w:bookmarkStart w:id="116" w:name="_Toc17597"/>
      <w:bookmarkStart w:id="117" w:name="_Toc24082"/>
      <w:bookmarkStart w:id="118" w:name="_Toc24452"/>
      <w:bookmarkStart w:id="119" w:name="_Toc18247"/>
      <w:r>
        <w:rPr>
          <w:lang w:val="en-US" w:eastAsia="zh-CN"/>
        </w:rPr>
        <w:t>The selected ports should follow a valid (N1, N2);</w:t>
      </w:r>
      <w:bookmarkEnd w:id="113"/>
      <w:bookmarkEnd w:id="114"/>
      <w:bookmarkEnd w:id="115"/>
      <w:bookmarkEnd w:id="116"/>
      <w:bookmarkEnd w:id="117"/>
      <w:bookmarkEnd w:id="118"/>
      <w:bookmarkEnd w:id="119"/>
    </w:p>
    <w:p>
      <w:pPr>
        <w:pStyle w:val="30"/>
        <w:numPr>
          <w:ilvl w:val="0"/>
          <w:numId w:val="24"/>
        </w:numPr>
        <w:spacing w:before="120" w:after="120"/>
        <w:rPr>
          <w:lang w:val="en-US" w:eastAsia="zh-CN"/>
        </w:rPr>
      </w:pPr>
      <w:bookmarkStart w:id="120" w:name="_Toc14149"/>
      <w:bookmarkStart w:id="121" w:name="_Toc2432"/>
      <w:bookmarkStart w:id="122" w:name="_Toc3985"/>
      <w:bookmarkStart w:id="123" w:name="_Toc46"/>
      <w:bookmarkStart w:id="124" w:name="_Toc19524"/>
      <w:bookmarkStart w:id="125" w:name="_Toc26260"/>
      <w:bookmarkStart w:id="126" w:name="_Toc12902"/>
      <w:r>
        <w:rPr>
          <w:lang w:val="en-US" w:eastAsia="zh-CN"/>
        </w:rPr>
        <w:t>The extracted precoding matrix should follow the structure of the precoding matrix in TS 38.214.</w:t>
      </w:r>
      <w:bookmarkEnd w:id="120"/>
      <w:bookmarkEnd w:id="121"/>
      <w:bookmarkEnd w:id="122"/>
      <w:bookmarkEnd w:id="123"/>
      <w:bookmarkEnd w:id="124"/>
      <w:bookmarkEnd w:id="125"/>
      <w:bookmarkEnd w:id="126"/>
    </w:p>
    <w:p>
      <w:pPr>
        <w:pStyle w:val="4"/>
        <w:numPr>
          <w:ilvl w:val="2"/>
          <w:numId w:val="10"/>
        </w:numPr>
        <w:spacing w:after="120"/>
        <w:ind w:right="210"/>
        <w:rPr>
          <w:rFonts w:ascii="Times New Roman" w:hAnsi="Times New Roman"/>
          <w:b/>
          <w:bCs/>
          <w:sz w:val="21"/>
          <w:szCs w:val="21"/>
        </w:rPr>
      </w:pPr>
      <w:r>
        <w:rPr>
          <w:rFonts w:hint="eastAsia" w:ascii="Times New Roman" w:hAnsi="Times New Roman"/>
          <w:b/>
          <w:bCs/>
          <w:sz w:val="21"/>
          <w:szCs w:val="21"/>
        </w:rPr>
        <w:t>RI</w:t>
      </w:r>
    </w:p>
    <w:p>
      <w:pPr>
        <w:spacing w:before="120" w:after="120"/>
      </w:pPr>
      <w:r>
        <w:t xml:space="preserve">The results in </w:t>
      </w:r>
      <w:r>
        <w:rPr>
          <w:rFonts w:hint="eastAsia"/>
        </w:rPr>
        <w:t>Figure 11 show how RI value changes when the gNB antenna</w:t>
      </w:r>
      <w:r>
        <w:t xml:space="preserve"> are dynamically adapted</w:t>
      </w:r>
      <w:r>
        <w:rPr>
          <w:rFonts w:hint="eastAsia"/>
        </w:rPr>
        <w:t>. According to the simulation results, in most cases, RI doesn</w:t>
      </w:r>
      <w:r>
        <w:t>’</w:t>
      </w:r>
      <w:r>
        <w:rPr>
          <w:rFonts w:hint="eastAsia"/>
        </w:rPr>
        <w:t>t change or just decrease</w:t>
      </w:r>
      <w:r>
        <w:t>s</w:t>
      </w:r>
      <w:r>
        <w:rPr>
          <w:rFonts w:hint="eastAsia"/>
        </w:rPr>
        <w:t xml:space="preserve"> by 1 when CSI-RS antenna ports are dynamically adapted.</w:t>
      </w:r>
    </w:p>
    <w:p>
      <w:pPr>
        <w:pStyle w:val="30"/>
        <w:spacing w:before="120" w:after="120"/>
        <w:rPr>
          <w:lang w:val="en-US" w:eastAsia="zh-CN"/>
        </w:rPr>
      </w:pPr>
      <w:bookmarkStart w:id="127" w:name="_Toc11048"/>
      <w:bookmarkStart w:id="128" w:name="_Toc1734"/>
      <w:bookmarkStart w:id="129" w:name="_Toc1369"/>
      <w:r>
        <w:rPr>
          <w:lang w:val="en-US" w:eastAsia="zh-CN"/>
        </w:rPr>
        <w:t>In most cases, RI doesn’t change or just decrease</w:t>
      </w:r>
      <w:r>
        <w:rPr>
          <w:rFonts w:hint="eastAsia"/>
          <w:lang w:val="en-US" w:eastAsia="zh-CN"/>
        </w:rPr>
        <w:t>s</w:t>
      </w:r>
      <w:r>
        <w:rPr>
          <w:lang w:val="en-US" w:eastAsia="zh-CN"/>
        </w:rPr>
        <w:t xml:space="preserve"> by 1 when CSI-RS antenna ports are dynamically adapted.</w:t>
      </w:r>
      <w:bookmarkEnd w:id="127"/>
      <w:bookmarkEnd w:id="128"/>
      <w:bookmarkEnd w:id="129"/>
    </w:p>
    <w:p>
      <w:pPr>
        <w:spacing w:before="120" w:after="120"/>
      </w:pPr>
      <w:r>
        <w:t>Based on the observation</w:t>
      </w:r>
      <w:r>
        <w:rPr>
          <w:rFonts w:hint="eastAsia"/>
        </w:rPr>
        <w:t>, the overhead of RI can be reduced</w:t>
      </w:r>
      <w:r>
        <w:t xml:space="preserve"> for multi-CSI reporting via</w:t>
      </w:r>
      <w:r>
        <w:rPr>
          <w:rFonts w:hint="eastAsia"/>
        </w:rPr>
        <w:t xml:space="preserve"> differential RI. For example, RI with smaller number of ports </w:t>
      </w:r>
      <w:r>
        <w:t>can be</w:t>
      </w:r>
      <w:r>
        <w:rPr>
          <w:rFonts w:hint="eastAsia"/>
        </w:rPr>
        <w:t xml:space="preserve"> reported using a differential RI value</w:t>
      </w:r>
      <w:r>
        <w:t xml:space="preserve"> which</w:t>
      </w:r>
      <w:r>
        <w:rPr>
          <w:rFonts w:hint="eastAsia"/>
        </w:rPr>
        <w:t xml:space="preserve"> is a differential between a RI value </w:t>
      </w:r>
      <w:r>
        <w:t>of</w:t>
      </w:r>
      <w:r>
        <w:rPr>
          <w:rFonts w:hint="eastAsia"/>
        </w:rPr>
        <w:t xml:space="preserve"> largest port numbers and the RI value with smaller port numbers. The candidates of differential RI value can be [0,</w:t>
      </w:r>
      <w:r>
        <w:t xml:space="preserve"> </w:t>
      </w:r>
      <w:r>
        <w:rPr>
          <w:rFonts w:hint="eastAsia"/>
        </w:rPr>
        <w:t xml:space="preserve">-1] according to </w:t>
      </w:r>
      <w:r>
        <w:t xml:space="preserve">evaluation results in Figure </w:t>
      </w:r>
      <w:r>
        <w:rPr>
          <w:rFonts w:hint="eastAsia"/>
        </w:rPr>
        <w:t>11.</w:t>
      </w:r>
      <w:r>
        <w:t xml:space="preserve"> </w:t>
      </w:r>
    </w:p>
    <w:p>
      <w:pPr>
        <w:pStyle w:val="31"/>
        <w:spacing w:before="120" w:after="120"/>
      </w:pPr>
      <w:bookmarkStart w:id="130" w:name="_Toc25666"/>
      <w:r>
        <w:rPr>
          <w:rFonts w:hint="eastAsia"/>
        </w:rPr>
        <w:t xml:space="preserve">Differential RI </w:t>
      </w:r>
      <w:r>
        <w:t>should</w:t>
      </w:r>
      <w:r>
        <w:rPr>
          <w:rFonts w:hint="eastAsia"/>
        </w:rPr>
        <w:t xml:space="preserve"> be considered to reduce U</w:t>
      </w:r>
      <w:r>
        <w:t>CI</w:t>
      </w:r>
      <w:r>
        <w:rPr>
          <w:rFonts w:hint="eastAsia"/>
        </w:rPr>
        <w:t xml:space="preserve"> overhead.</w:t>
      </w:r>
      <w:bookmarkEnd w:id="130"/>
    </w:p>
    <w:p>
      <w:pPr>
        <w:spacing w:before="120" w:after="120"/>
      </w:pPr>
      <w:r>
        <w:rPr>
          <w:rFonts w:hint="eastAsia"/>
        </w:rPr>
        <w:t>I</w:t>
      </w:r>
      <w:r>
        <w:t>n this</w:t>
      </w:r>
      <w:r>
        <w:rPr>
          <w:rFonts w:hint="eastAsia"/>
        </w:rPr>
        <w:t xml:space="preserve"> section, a simulation results of reporting differential RI </w:t>
      </w:r>
      <w:r>
        <w:t>are</w:t>
      </w:r>
      <w:r>
        <w:rPr>
          <w:rFonts w:hint="eastAsia"/>
        </w:rPr>
        <w:t xml:space="preserve"> provided. </w:t>
      </w:r>
      <w:r>
        <w:t>And t</w:t>
      </w:r>
      <w:r>
        <w:rPr>
          <w:rFonts w:hint="eastAsia"/>
        </w:rPr>
        <w:t>he following cases are simulated.</w:t>
      </w:r>
    </w:p>
    <w:p>
      <w:pPr>
        <w:spacing w:before="120" w:after="120"/>
      </w:pPr>
      <w:r>
        <w:rPr>
          <w:rFonts w:hint="eastAsia"/>
        </w:rPr>
        <w:t>Case#1: Dynamic gNB antenna</w:t>
      </w:r>
      <w:r>
        <w:t xml:space="preserve"> adaptation</w:t>
      </w:r>
      <w:r>
        <w:rPr>
          <w:rFonts w:hint="eastAsia"/>
        </w:rPr>
        <w:t xml:space="preserve"> </w:t>
      </w:r>
      <w:r>
        <w:t>among</w:t>
      </w:r>
      <w:r>
        <w:rPr>
          <w:rFonts w:hint="eastAsia"/>
        </w:rPr>
        <w:t xml:space="preserve"> {32ports, 24ports,}.</w:t>
      </w:r>
    </w:p>
    <w:p>
      <w:pPr>
        <w:spacing w:before="120" w:after="120"/>
      </w:pPr>
      <w:r>
        <w:rPr>
          <w:rFonts w:hint="eastAsia"/>
        </w:rPr>
        <w:t>Case#2: Dynamic gNB antenna</w:t>
      </w:r>
      <w:r>
        <w:t xml:space="preserve"> adaptation</w:t>
      </w:r>
      <w:r>
        <w:rPr>
          <w:rFonts w:hint="eastAsia"/>
        </w:rPr>
        <w:t xml:space="preserve"> </w:t>
      </w:r>
      <w:r>
        <w:t>among</w:t>
      </w:r>
      <w:r>
        <w:rPr>
          <w:rFonts w:hint="eastAsia"/>
        </w:rPr>
        <w:t xml:space="preserve"> {32ports, 16ports}.</w:t>
      </w:r>
    </w:p>
    <w:p>
      <w:pPr>
        <w:spacing w:before="120" w:after="120"/>
      </w:pPr>
      <w:r>
        <w:t>The t</w:t>
      </w:r>
      <w:r>
        <w:rPr>
          <w:rFonts w:hint="eastAsia"/>
        </w:rPr>
        <w:t xml:space="preserve">hroughput loss </w:t>
      </w:r>
      <w:r>
        <w:t xml:space="preserve">of </w:t>
      </w:r>
      <w:r>
        <w:rPr>
          <w:rFonts w:hint="eastAsia"/>
        </w:rPr>
        <w:t>1</w:t>
      </w:r>
      <w:r>
        <w:t xml:space="preserve">-bit differential RI compared with multiple separate RI reporting is provided in Table </w:t>
      </w:r>
      <w:r>
        <w:rPr>
          <w:rFonts w:hint="eastAsia"/>
        </w:rPr>
        <w:t>6</w:t>
      </w:r>
      <w:r>
        <w:t xml:space="preserve">. </w:t>
      </w:r>
      <w:r>
        <w:rPr>
          <w:rFonts w:hint="eastAsia"/>
        </w:rPr>
        <w:t>According to the simulation results, the throughput loss of reporting differential RI is small when the differential RIs indicates an offset value of 0 or -1.</w:t>
      </w:r>
    </w:p>
    <w:p>
      <w:pPr>
        <w:pStyle w:val="30"/>
        <w:spacing w:before="120" w:after="120"/>
      </w:pPr>
      <w:bookmarkStart w:id="131" w:name="_Toc4235"/>
      <w:bookmarkStart w:id="132" w:name="_Toc4503"/>
      <w:bookmarkStart w:id="133" w:name="_Toc10120"/>
      <w:r>
        <w:t>Compared with reporting multiple RIs, the average throughput loss of reporting differential RI is small.</w:t>
      </w:r>
      <w:bookmarkEnd w:id="131"/>
      <w:bookmarkEnd w:id="132"/>
      <w:bookmarkEnd w:id="133"/>
    </w:p>
    <w:p>
      <w:pPr>
        <w:spacing w:before="120" w:after="120"/>
        <w:jc w:val="center"/>
      </w:pPr>
    </w:p>
    <w:p>
      <w:pPr>
        <w:spacing w:before="120" w:after="120"/>
        <w:jc w:val="center"/>
      </w:pPr>
      <w:r>
        <w:rPr>
          <w:rFonts w:hint="eastAsia"/>
        </w:rPr>
        <w:t>Table 6 simulation results of using 1</w:t>
      </w:r>
      <w:r>
        <w:t>-</w:t>
      </w:r>
      <w:r>
        <w:rPr>
          <w:rFonts w:hint="eastAsia"/>
        </w:rPr>
        <w:t>bit differential RI=</w:t>
      </w:r>
      <w:r>
        <w:t xml:space="preserve"> </w:t>
      </w:r>
      <w:r>
        <w:rPr>
          <w:rFonts w:hint="eastAsia"/>
        </w:rPr>
        <w:t>[0,</w:t>
      </w:r>
      <w:r>
        <w:t xml:space="preserve"> </w:t>
      </w:r>
      <w:r>
        <w:rPr>
          <w:rFonts w:hint="eastAsia"/>
        </w:rPr>
        <w:t>-1]</w:t>
      </w:r>
    </w:p>
    <w:tbl>
      <w:tblPr>
        <w:tblStyle w:val="18"/>
        <w:tblW w:w="8720" w:type="dxa"/>
        <w:jc w:val="center"/>
        <w:tblLayout w:type="fixed"/>
        <w:tblCellMar>
          <w:top w:w="0" w:type="dxa"/>
          <w:left w:w="0" w:type="dxa"/>
          <w:bottom w:w="0" w:type="dxa"/>
          <w:right w:w="0" w:type="dxa"/>
        </w:tblCellMar>
      </w:tblPr>
      <w:tblGrid>
        <w:gridCol w:w="1583"/>
        <w:gridCol w:w="1487"/>
        <w:gridCol w:w="1820"/>
        <w:gridCol w:w="1915"/>
        <w:gridCol w:w="1915"/>
      </w:tblGrid>
      <w:tr>
        <w:tblPrEx>
          <w:tblCellMar>
            <w:top w:w="0" w:type="dxa"/>
            <w:left w:w="0" w:type="dxa"/>
            <w:bottom w:w="0" w:type="dxa"/>
            <w:right w:w="0" w:type="dxa"/>
          </w:tblCellMar>
        </w:tblPrEx>
        <w:trPr>
          <w:trHeight w:val="440" w:hRule="atLeast"/>
          <w:jc w:val="center"/>
        </w:trPr>
        <w:tc>
          <w:tcPr>
            <w:tcW w:w="1583" w:type="dxa"/>
            <w:tcBorders>
              <w:top w:val="single" w:color="FFFFFF" w:sz="6" w:space="0"/>
              <w:left w:val="single" w:color="FFFFFF" w:sz="6" w:space="0"/>
              <w:bottom w:val="single" w:color="FFFFFF" w:sz="18" w:space="0"/>
              <w:right w:val="single" w:color="FFFFFF" w:sz="6" w:space="0"/>
            </w:tcBorders>
            <w:shd w:val="clear" w:color="auto" w:fill="4F81BD"/>
            <w:tcMar>
              <w:top w:w="54" w:type="dxa"/>
              <w:left w:w="108" w:type="dxa"/>
              <w:bottom w:w="54" w:type="dxa"/>
              <w:right w:w="108" w:type="dxa"/>
            </w:tcMar>
            <w:vAlign w:val="center"/>
          </w:tcPr>
          <w:p>
            <w:pPr>
              <w:pStyle w:val="16"/>
              <w:spacing w:before="120" w:after="120"/>
              <w:jc w:val="center"/>
              <w:rPr>
                <w:b/>
                <w:bCs/>
                <w:color w:val="FFFFFF"/>
                <w:sz w:val="18"/>
                <w:szCs w:val="18"/>
              </w:rPr>
            </w:pPr>
            <w:r>
              <w:rPr>
                <w:b/>
                <w:bCs/>
                <w:color w:val="FFFFFF"/>
                <w:sz w:val="18"/>
                <w:szCs w:val="18"/>
              </w:rPr>
              <w:t>Throughput loss</w:t>
            </w:r>
          </w:p>
        </w:tc>
        <w:tc>
          <w:tcPr>
            <w:tcW w:w="1487" w:type="dxa"/>
            <w:tcBorders>
              <w:top w:val="single" w:color="FFFFFF" w:sz="6" w:space="0"/>
              <w:left w:val="nil"/>
              <w:bottom w:val="single" w:color="FFFFFF" w:sz="18" w:space="0"/>
              <w:right w:val="single" w:color="FFFFFF" w:sz="6" w:space="0"/>
            </w:tcBorders>
            <w:shd w:val="clear" w:color="auto" w:fill="4F81BD"/>
            <w:tcMar>
              <w:top w:w="54" w:type="dxa"/>
              <w:left w:w="108" w:type="dxa"/>
              <w:bottom w:w="54" w:type="dxa"/>
              <w:right w:w="108" w:type="dxa"/>
            </w:tcMar>
            <w:vAlign w:val="center"/>
          </w:tcPr>
          <w:p>
            <w:pPr>
              <w:pStyle w:val="16"/>
              <w:spacing w:before="120" w:after="120"/>
              <w:jc w:val="center"/>
              <w:rPr>
                <w:color w:val="FFFFFF"/>
                <w:sz w:val="18"/>
                <w:szCs w:val="18"/>
              </w:rPr>
            </w:pPr>
            <w:r>
              <w:rPr>
                <w:b/>
                <w:bCs/>
                <w:color w:val="FFFFFF"/>
                <w:sz w:val="18"/>
                <w:szCs w:val="18"/>
              </w:rPr>
              <w:t>Average UE throughput</w:t>
            </w:r>
          </w:p>
        </w:tc>
        <w:tc>
          <w:tcPr>
            <w:tcW w:w="1820" w:type="dxa"/>
            <w:tcBorders>
              <w:top w:val="single" w:color="FFFFFF" w:sz="6" w:space="0"/>
              <w:left w:val="nil"/>
              <w:bottom w:val="single" w:color="FFFFFF" w:sz="18" w:space="0"/>
              <w:right w:val="single" w:color="FFFFFF" w:sz="6" w:space="0"/>
            </w:tcBorders>
            <w:shd w:val="clear" w:color="auto" w:fill="4F81BD"/>
            <w:tcMar>
              <w:top w:w="54" w:type="dxa"/>
              <w:left w:w="108" w:type="dxa"/>
              <w:bottom w:w="54" w:type="dxa"/>
              <w:right w:w="108" w:type="dxa"/>
            </w:tcMar>
            <w:vAlign w:val="center"/>
          </w:tcPr>
          <w:p>
            <w:pPr>
              <w:pStyle w:val="16"/>
              <w:spacing w:before="120" w:after="120"/>
              <w:jc w:val="center"/>
              <w:rPr>
                <w:sz w:val="18"/>
                <w:szCs w:val="18"/>
              </w:rPr>
            </w:pPr>
            <w:r>
              <w:rPr>
                <w:b/>
                <w:bCs/>
                <w:color w:val="FFFFFF"/>
                <w:sz w:val="18"/>
                <w:szCs w:val="18"/>
              </w:rPr>
              <w:t>5% UE throughput</w:t>
            </w:r>
          </w:p>
        </w:tc>
        <w:tc>
          <w:tcPr>
            <w:tcW w:w="1915" w:type="dxa"/>
            <w:tcBorders>
              <w:top w:val="single" w:color="FFFFFF" w:sz="6" w:space="0"/>
              <w:left w:val="nil"/>
              <w:bottom w:val="single" w:color="FFFFFF" w:sz="18" w:space="0"/>
              <w:right w:val="single" w:color="FFFFFF" w:sz="6" w:space="0"/>
            </w:tcBorders>
            <w:shd w:val="clear" w:color="auto" w:fill="4F81BD"/>
            <w:tcMar>
              <w:top w:w="54" w:type="dxa"/>
              <w:left w:w="108" w:type="dxa"/>
              <w:bottom w:w="54" w:type="dxa"/>
              <w:right w:w="108" w:type="dxa"/>
            </w:tcMar>
            <w:vAlign w:val="center"/>
          </w:tcPr>
          <w:p>
            <w:pPr>
              <w:pStyle w:val="16"/>
              <w:spacing w:before="120" w:after="120"/>
              <w:jc w:val="center"/>
              <w:rPr>
                <w:sz w:val="18"/>
                <w:szCs w:val="18"/>
              </w:rPr>
            </w:pPr>
            <w:r>
              <w:rPr>
                <w:b/>
                <w:bCs/>
                <w:color w:val="FFFFFF"/>
                <w:sz w:val="18"/>
                <w:szCs w:val="18"/>
              </w:rPr>
              <w:t>50% UE throughput</w:t>
            </w:r>
          </w:p>
        </w:tc>
        <w:tc>
          <w:tcPr>
            <w:tcW w:w="1915" w:type="dxa"/>
            <w:tcBorders>
              <w:top w:val="single" w:color="FFFFFF" w:sz="6" w:space="0"/>
              <w:left w:val="nil"/>
              <w:bottom w:val="single" w:color="FFFFFF" w:sz="18" w:space="0"/>
              <w:right w:val="single" w:color="FFFFFF" w:sz="6" w:space="0"/>
            </w:tcBorders>
            <w:shd w:val="clear" w:color="auto" w:fill="4F81BD"/>
            <w:tcMar>
              <w:top w:w="54" w:type="dxa"/>
              <w:left w:w="108" w:type="dxa"/>
              <w:bottom w:w="54" w:type="dxa"/>
              <w:right w:w="108" w:type="dxa"/>
            </w:tcMar>
            <w:vAlign w:val="center"/>
          </w:tcPr>
          <w:p>
            <w:pPr>
              <w:pStyle w:val="16"/>
              <w:spacing w:before="120" w:after="120"/>
              <w:jc w:val="center"/>
              <w:rPr>
                <w:sz w:val="18"/>
                <w:szCs w:val="18"/>
              </w:rPr>
            </w:pPr>
            <w:r>
              <w:rPr>
                <w:b/>
                <w:bCs/>
                <w:color w:val="FFFFFF"/>
                <w:sz w:val="18"/>
                <w:szCs w:val="18"/>
              </w:rPr>
              <w:t>95% UE throughput</w:t>
            </w:r>
          </w:p>
        </w:tc>
      </w:tr>
      <w:tr>
        <w:tblPrEx>
          <w:tblCellMar>
            <w:top w:w="0" w:type="dxa"/>
            <w:left w:w="0" w:type="dxa"/>
            <w:bottom w:w="0" w:type="dxa"/>
            <w:right w:w="0" w:type="dxa"/>
          </w:tblCellMar>
        </w:tblPrEx>
        <w:trPr>
          <w:trHeight w:val="340" w:hRule="atLeast"/>
          <w:jc w:val="center"/>
        </w:trPr>
        <w:tc>
          <w:tcPr>
            <w:tcW w:w="1583" w:type="dxa"/>
            <w:tcBorders>
              <w:top w:val="single" w:color="FFFFFF" w:sz="6" w:space="0"/>
              <w:left w:val="single" w:color="FFFFFF" w:sz="6" w:space="0"/>
              <w:bottom w:val="single" w:color="FFFFFF" w:sz="6" w:space="0"/>
              <w:right w:val="single" w:color="FFFFFF" w:sz="6" w:space="0"/>
            </w:tcBorders>
            <w:shd w:val="clear" w:color="auto" w:fill="D0D8E8"/>
            <w:tcMar>
              <w:top w:w="54" w:type="dxa"/>
              <w:left w:w="108" w:type="dxa"/>
              <w:bottom w:w="54" w:type="dxa"/>
              <w:right w:w="108" w:type="dxa"/>
            </w:tcMar>
            <w:vAlign w:val="center"/>
          </w:tcPr>
          <w:p>
            <w:pPr>
              <w:pStyle w:val="16"/>
              <w:spacing w:before="120" w:after="120"/>
              <w:jc w:val="center"/>
              <w:rPr>
                <w:sz w:val="18"/>
                <w:szCs w:val="18"/>
              </w:rPr>
            </w:pPr>
            <w:r>
              <w:rPr>
                <w:sz w:val="18"/>
                <w:szCs w:val="18"/>
              </w:rPr>
              <w:t>Case#1</w:t>
            </w:r>
          </w:p>
        </w:tc>
        <w:tc>
          <w:tcPr>
            <w:tcW w:w="1487" w:type="dxa"/>
            <w:tcBorders>
              <w:top w:val="single" w:color="FFFFFF" w:sz="6" w:space="0"/>
              <w:left w:val="nil"/>
              <w:bottom w:val="single" w:color="FFFFFF" w:sz="6" w:space="0"/>
              <w:right w:val="single" w:color="FFFFFF" w:sz="6" w:space="0"/>
            </w:tcBorders>
            <w:shd w:val="clear" w:color="auto" w:fill="D0D8E8"/>
            <w:tcMar>
              <w:top w:w="54" w:type="dxa"/>
              <w:left w:w="108" w:type="dxa"/>
              <w:bottom w:w="54" w:type="dxa"/>
              <w:right w:w="108" w:type="dxa"/>
            </w:tcMar>
            <w:vAlign w:val="center"/>
          </w:tcPr>
          <w:p>
            <w:pPr>
              <w:spacing w:before="120" w:after="120"/>
              <w:jc w:val="center"/>
              <w:textAlignment w:val="center"/>
              <w:rPr>
                <w:kern w:val="0"/>
                <w:sz w:val="18"/>
                <w:szCs w:val="18"/>
              </w:rPr>
            </w:pPr>
            <w:r>
              <w:rPr>
                <w:kern w:val="0"/>
                <w:sz w:val="18"/>
                <w:szCs w:val="18"/>
              </w:rPr>
              <w:t>-0.70%</w:t>
            </w:r>
          </w:p>
        </w:tc>
        <w:tc>
          <w:tcPr>
            <w:tcW w:w="1820" w:type="dxa"/>
            <w:tcBorders>
              <w:top w:val="single" w:color="FFFFFF" w:sz="6" w:space="0"/>
              <w:left w:val="nil"/>
              <w:bottom w:val="single" w:color="FFFFFF" w:sz="6" w:space="0"/>
              <w:right w:val="single" w:color="FFFFFF" w:sz="6" w:space="0"/>
            </w:tcBorders>
            <w:shd w:val="clear" w:color="auto" w:fill="D0D8E8"/>
            <w:tcMar>
              <w:top w:w="54" w:type="dxa"/>
              <w:left w:w="108" w:type="dxa"/>
              <w:bottom w:w="54" w:type="dxa"/>
              <w:right w:w="108" w:type="dxa"/>
            </w:tcMar>
            <w:vAlign w:val="center"/>
          </w:tcPr>
          <w:p>
            <w:pPr>
              <w:spacing w:before="120" w:after="120"/>
              <w:jc w:val="center"/>
              <w:textAlignment w:val="center"/>
              <w:rPr>
                <w:kern w:val="0"/>
                <w:sz w:val="18"/>
                <w:szCs w:val="18"/>
              </w:rPr>
            </w:pPr>
            <w:r>
              <w:rPr>
                <w:kern w:val="0"/>
                <w:sz w:val="18"/>
                <w:szCs w:val="18"/>
              </w:rPr>
              <w:t>-1.09%</w:t>
            </w:r>
          </w:p>
        </w:tc>
        <w:tc>
          <w:tcPr>
            <w:tcW w:w="1915" w:type="dxa"/>
            <w:tcBorders>
              <w:top w:val="single" w:color="FFFFFF" w:sz="6" w:space="0"/>
              <w:left w:val="nil"/>
              <w:bottom w:val="single" w:color="FFFFFF" w:sz="6" w:space="0"/>
              <w:right w:val="single" w:color="FFFFFF" w:sz="6" w:space="0"/>
            </w:tcBorders>
            <w:shd w:val="clear" w:color="auto" w:fill="D0D8E8"/>
            <w:tcMar>
              <w:top w:w="54" w:type="dxa"/>
              <w:left w:w="108" w:type="dxa"/>
              <w:bottom w:w="54" w:type="dxa"/>
              <w:right w:w="108" w:type="dxa"/>
            </w:tcMar>
            <w:vAlign w:val="center"/>
          </w:tcPr>
          <w:p>
            <w:pPr>
              <w:spacing w:before="120" w:after="120"/>
              <w:jc w:val="center"/>
              <w:textAlignment w:val="center"/>
              <w:rPr>
                <w:kern w:val="0"/>
                <w:sz w:val="18"/>
                <w:szCs w:val="18"/>
              </w:rPr>
            </w:pPr>
            <w:r>
              <w:rPr>
                <w:kern w:val="0"/>
                <w:sz w:val="18"/>
                <w:szCs w:val="18"/>
              </w:rPr>
              <w:t>-1.12%</w:t>
            </w:r>
          </w:p>
        </w:tc>
        <w:tc>
          <w:tcPr>
            <w:tcW w:w="1915" w:type="dxa"/>
            <w:tcBorders>
              <w:top w:val="single" w:color="FFFFFF" w:sz="6" w:space="0"/>
              <w:left w:val="nil"/>
              <w:bottom w:val="single" w:color="FFFFFF" w:sz="6" w:space="0"/>
              <w:right w:val="single" w:color="FFFFFF" w:sz="6" w:space="0"/>
            </w:tcBorders>
            <w:shd w:val="clear" w:color="auto" w:fill="D0D8E8"/>
            <w:tcMar>
              <w:top w:w="54" w:type="dxa"/>
              <w:left w:w="108" w:type="dxa"/>
              <w:bottom w:w="54" w:type="dxa"/>
              <w:right w:w="108" w:type="dxa"/>
            </w:tcMar>
            <w:vAlign w:val="center"/>
          </w:tcPr>
          <w:p>
            <w:pPr>
              <w:spacing w:before="120" w:after="120"/>
              <w:jc w:val="center"/>
              <w:textAlignment w:val="center"/>
              <w:rPr>
                <w:kern w:val="0"/>
                <w:sz w:val="18"/>
                <w:szCs w:val="18"/>
              </w:rPr>
            </w:pPr>
            <w:r>
              <w:rPr>
                <w:kern w:val="0"/>
                <w:sz w:val="18"/>
                <w:szCs w:val="18"/>
              </w:rPr>
              <w:t>-0.26%</w:t>
            </w:r>
          </w:p>
        </w:tc>
      </w:tr>
      <w:tr>
        <w:tblPrEx>
          <w:tblCellMar>
            <w:top w:w="0" w:type="dxa"/>
            <w:left w:w="0" w:type="dxa"/>
            <w:bottom w:w="0" w:type="dxa"/>
            <w:right w:w="0" w:type="dxa"/>
          </w:tblCellMar>
        </w:tblPrEx>
        <w:trPr>
          <w:trHeight w:val="340" w:hRule="atLeast"/>
          <w:jc w:val="center"/>
        </w:trPr>
        <w:tc>
          <w:tcPr>
            <w:tcW w:w="1583" w:type="dxa"/>
            <w:tcBorders>
              <w:top w:val="single" w:color="FFFFFF" w:sz="6" w:space="0"/>
              <w:left w:val="single" w:color="FFFFFF" w:sz="6" w:space="0"/>
              <w:bottom w:val="single" w:color="FFFFFF" w:sz="6" w:space="0"/>
              <w:right w:val="single" w:color="FFFFFF" w:sz="6" w:space="0"/>
            </w:tcBorders>
            <w:shd w:val="clear" w:color="auto" w:fill="D0D8E8"/>
            <w:tcMar>
              <w:top w:w="54" w:type="dxa"/>
              <w:left w:w="108" w:type="dxa"/>
              <w:bottom w:w="54" w:type="dxa"/>
              <w:right w:w="108" w:type="dxa"/>
            </w:tcMar>
            <w:vAlign w:val="center"/>
          </w:tcPr>
          <w:p>
            <w:pPr>
              <w:pStyle w:val="16"/>
              <w:spacing w:before="120" w:after="120"/>
              <w:jc w:val="center"/>
              <w:rPr>
                <w:sz w:val="18"/>
                <w:szCs w:val="18"/>
              </w:rPr>
            </w:pPr>
            <w:r>
              <w:rPr>
                <w:sz w:val="18"/>
                <w:szCs w:val="18"/>
              </w:rPr>
              <w:t>Case#</w:t>
            </w:r>
            <w:r>
              <w:rPr>
                <w:rFonts w:hint="eastAsia"/>
                <w:sz w:val="18"/>
                <w:szCs w:val="18"/>
              </w:rPr>
              <w:t>2</w:t>
            </w:r>
          </w:p>
        </w:tc>
        <w:tc>
          <w:tcPr>
            <w:tcW w:w="1487" w:type="dxa"/>
            <w:tcBorders>
              <w:top w:val="single" w:color="FFFFFF" w:sz="6" w:space="0"/>
              <w:left w:val="nil"/>
              <w:bottom w:val="single" w:color="FFFFFF" w:sz="6" w:space="0"/>
              <w:right w:val="single" w:color="FFFFFF" w:sz="6" w:space="0"/>
            </w:tcBorders>
            <w:shd w:val="clear" w:color="auto" w:fill="D0D8E8"/>
            <w:tcMar>
              <w:top w:w="54" w:type="dxa"/>
              <w:left w:w="108" w:type="dxa"/>
              <w:bottom w:w="54" w:type="dxa"/>
              <w:right w:w="108" w:type="dxa"/>
            </w:tcMar>
            <w:vAlign w:val="center"/>
          </w:tcPr>
          <w:p>
            <w:pPr>
              <w:spacing w:before="120" w:after="120"/>
              <w:jc w:val="center"/>
              <w:textAlignment w:val="center"/>
              <w:rPr>
                <w:kern w:val="0"/>
                <w:sz w:val="18"/>
                <w:szCs w:val="18"/>
              </w:rPr>
            </w:pPr>
            <w:r>
              <w:rPr>
                <w:kern w:val="0"/>
                <w:sz w:val="18"/>
                <w:szCs w:val="18"/>
              </w:rPr>
              <w:t>-1.65%</w:t>
            </w:r>
          </w:p>
        </w:tc>
        <w:tc>
          <w:tcPr>
            <w:tcW w:w="1820" w:type="dxa"/>
            <w:tcBorders>
              <w:top w:val="single" w:color="FFFFFF" w:sz="6" w:space="0"/>
              <w:left w:val="nil"/>
              <w:bottom w:val="single" w:color="FFFFFF" w:sz="6" w:space="0"/>
              <w:right w:val="single" w:color="FFFFFF" w:sz="6" w:space="0"/>
            </w:tcBorders>
            <w:shd w:val="clear" w:color="auto" w:fill="D0D8E8"/>
            <w:tcMar>
              <w:top w:w="54" w:type="dxa"/>
              <w:left w:w="108" w:type="dxa"/>
              <w:bottom w:w="54" w:type="dxa"/>
              <w:right w:w="108" w:type="dxa"/>
            </w:tcMar>
            <w:vAlign w:val="center"/>
          </w:tcPr>
          <w:p>
            <w:pPr>
              <w:spacing w:before="120" w:after="120"/>
              <w:jc w:val="center"/>
              <w:textAlignment w:val="center"/>
              <w:rPr>
                <w:kern w:val="0"/>
                <w:sz w:val="18"/>
                <w:szCs w:val="18"/>
              </w:rPr>
            </w:pPr>
            <w:r>
              <w:rPr>
                <w:kern w:val="0"/>
                <w:sz w:val="18"/>
                <w:szCs w:val="18"/>
              </w:rPr>
              <w:t>-2.86%</w:t>
            </w:r>
          </w:p>
        </w:tc>
        <w:tc>
          <w:tcPr>
            <w:tcW w:w="1915" w:type="dxa"/>
            <w:tcBorders>
              <w:top w:val="single" w:color="FFFFFF" w:sz="6" w:space="0"/>
              <w:left w:val="nil"/>
              <w:bottom w:val="single" w:color="FFFFFF" w:sz="6" w:space="0"/>
              <w:right w:val="single" w:color="FFFFFF" w:sz="6" w:space="0"/>
            </w:tcBorders>
            <w:shd w:val="clear" w:color="auto" w:fill="D0D8E8"/>
            <w:tcMar>
              <w:top w:w="54" w:type="dxa"/>
              <w:left w:w="108" w:type="dxa"/>
              <w:bottom w:w="54" w:type="dxa"/>
              <w:right w:w="108" w:type="dxa"/>
            </w:tcMar>
            <w:vAlign w:val="center"/>
          </w:tcPr>
          <w:p>
            <w:pPr>
              <w:spacing w:before="120" w:after="120"/>
              <w:jc w:val="center"/>
              <w:textAlignment w:val="center"/>
              <w:rPr>
                <w:kern w:val="0"/>
                <w:sz w:val="18"/>
                <w:szCs w:val="18"/>
              </w:rPr>
            </w:pPr>
            <w:r>
              <w:rPr>
                <w:kern w:val="0"/>
                <w:sz w:val="18"/>
                <w:szCs w:val="18"/>
              </w:rPr>
              <w:t>-2.09%</w:t>
            </w:r>
          </w:p>
        </w:tc>
        <w:tc>
          <w:tcPr>
            <w:tcW w:w="1915" w:type="dxa"/>
            <w:tcBorders>
              <w:top w:val="single" w:color="FFFFFF" w:sz="6" w:space="0"/>
              <w:left w:val="nil"/>
              <w:bottom w:val="single" w:color="FFFFFF" w:sz="6" w:space="0"/>
              <w:right w:val="single" w:color="FFFFFF" w:sz="6" w:space="0"/>
            </w:tcBorders>
            <w:shd w:val="clear" w:color="auto" w:fill="D0D8E8"/>
            <w:tcMar>
              <w:top w:w="54" w:type="dxa"/>
              <w:left w:w="108" w:type="dxa"/>
              <w:bottom w:w="54" w:type="dxa"/>
              <w:right w:w="108" w:type="dxa"/>
            </w:tcMar>
            <w:vAlign w:val="center"/>
          </w:tcPr>
          <w:p>
            <w:pPr>
              <w:spacing w:before="120" w:after="120"/>
              <w:jc w:val="center"/>
              <w:textAlignment w:val="center"/>
              <w:rPr>
                <w:kern w:val="0"/>
                <w:sz w:val="18"/>
                <w:szCs w:val="18"/>
              </w:rPr>
            </w:pPr>
            <w:r>
              <w:rPr>
                <w:kern w:val="0"/>
                <w:sz w:val="18"/>
                <w:szCs w:val="18"/>
              </w:rPr>
              <w:t>-1.28%</w:t>
            </w:r>
          </w:p>
        </w:tc>
      </w:tr>
    </w:tbl>
    <w:p>
      <w:pPr>
        <w:pStyle w:val="31"/>
        <w:spacing w:before="120" w:after="120"/>
      </w:pPr>
      <w:bookmarkStart w:id="134" w:name="_Toc6333"/>
      <w:r>
        <w:rPr>
          <w:rFonts w:hint="eastAsia"/>
        </w:rPr>
        <w:t xml:space="preserve">The following differential RI report </w:t>
      </w:r>
      <w:r>
        <w:t>should</w:t>
      </w:r>
      <w:r>
        <w:rPr>
          <w:rFonts w:hint="eastAsia"/>
        </w:rPr>
        <w:t xml:space="preserve"> be considered.</w:t>
      </w:r>
      <w:bookmarkEnd w:id="134"/>
    </w:p>
    <w:p>
      <w:pPr>
        <w:spacing w:before="120" w:after="120"/>
        <w:jc w:val="center"/>
        <w:rPr>
          <w:b/>
        </w:rPr>
      </w:pPr>
      <w:r>
        <w:rPr>
          <w:b/>
        </w:rPr>
        <w:t>Differential RI report</w:t>
      </w:r>
    </w:p>
    <w:tbl>
      <w:tblPr>
        <w:tblStyle w:val="1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92"/>
        <w:gridCol w:w="32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292" w:type="dxa"/>
            <w:tcBorders>
              <w:top w:val="single" w:color="auto" w:sz="4" w:space="0"/>
              <w:left w:val="single" w:color="auto" w:sz="4" w:space="0"/>
              <w:bottom w:val="single" w:color="auto" w:sz="4" w:space="0"/>
              <w:right w:val="single" w:color="auto" w:sz="4" w:space="0"/>
            </w:tcBorders>
          </w:tcPr>
          <w:p>
            <w:pPr>
              <w:pStyle w:val="8"/>
              <w:spacing w:before="120"/>
              <w:rPr>
                <w:b/>
              </w:rPr>
            </w:pPr>
            <w:r>
              <w:rPr>
                <w:b/>
              </w:rPr>
              <w:t>Differential RI codepoint</w:t>
            </w:r>
          </w:p>
        </w:tc>
        <w:tc>
          <w:tcPr>
            <w:tcW w:w="3292" w:type="dxa"/>
            <w:tcBorders>
              <w:top w:val="single" w:color="auto" w:sz="4" w:space="0"/>
              <w:left w:val="nil"/>
              <w:bottom w:val="single" w:color="auto" w:sz="4" w:space="0"/>
              <w:right w:val="single" w:color="auto" w:sz="4" w:space="0"/>
            </w:tcBorders>
          </w:tcPr>
          <w:p>
            <w:pPr>
              <w:pStyle w:val="8"/>
              <w:spacing w:before="120"/>
              <w:rPr>
                <w:b/>
              </w:rPr>
            </w:pPr>
            <w:r>
              <w:rPr>
                <w:b/>
              </w:rPr>
              <w:t>Offset 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92" w:type="dxa"/>
            <w:tcBorders>
              <w:top w:val="single" w:color="auto" w:sz="4" w:space="0"/>
              <w:left w:val="single" w:color="auto" w:sz="4" w:space="0"/>
              <w:bottom w:val="single" w:color="auto" w:sz="4" w:space="0"/>
              <w:right w:val="single" w:color="auto" w:sz="4" w:space="0"/>
            </w:tcBorders>
          </w:tcPr>
          <w:p>
            <w:pPr>
              <w:pStyle w:val="8"/>
              <w:spacing w:before="120"/>
              <w:rPr>
                <w:b/>
              </w:rPr>
            </w:pPr>
            <w:r>
              <w:rPr>
                <w:b/>
              </w:rPr>
              <w:t>0</w:t>
            </w:r>
          </w:p>
        </w:tc>
        <w:tc>
          <w:tcPr>
            <w:tcW w:w="3292" w:type="dxa"/>
            <w:tcBorders>
              <w:top w:val="single" w:color="auto" w:sz="4" w:space="0"/>
              <w:left w:val="nil"/>
              <w:bottom w:val="single" w:color="auto" w:sz="4" w:space="0"/>
              <w:right w:val="single" w:color="auto" w:sz="4" w:space="0"/>
            </w:tcBorders>
          </w:tcPr>
          <w:p>
            <w:pPr>
              <w:pStyle w:val="8"/>
              <w:spacing w:before="120"/>
              <w:rPr>
                <w:b/>
              </w:rPr>
            </w:pPr>
            <w:r>
              <w:rPr>
                <w:b/>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92" w:type="dxa"/>
            <w:tcBorders>
              <w:top w:val="single" w:color="auto" w:sz="4" w:space="0"/>
              <w:left w:val="single" w:color="auto" w:sz="4" w:space="0"/>
              <w:bottom w:val="single" w:color="auto" w:sz="4" w:space="0"/>
              <w:right w:val="single" w:color="auto" w:sz="4" w:space="0"/>
            </w:tcBorders>
          </w:tcPr>
          <w:p>
            <w:pPr>
              <w:pStyle w:val="8"/>
              <w:spacing w:before="120"/>
              <w:rPr>
                <w:b/>
              </w:rPr>
            </w:pPr>
            <w:r>
              <w:rPr>
                <w:b/>
              </w:rPr>
              <w:t>1</w:t>
            </w:r>
          </w:p>
        </w:tc>
        <w:tc>
          <w:tcPr>
            <w:tcW w:w="3292" w:type="dxa"/>
            <w:tcBorders>
              <w:top w:val="single" w:color="auto" w:sz="4" w:space="0"/>
              <w:left w:val="nil"/>
              <w:bottom w:val="single" w:color="auto" w:sz="4" w:space="0"/>
              <w:right w:val="single" w:color="auto" w:sz="4" w:space="0"/>
            </w:tcBorders>
          </w:tcPr>
          <w:p>
            <w:pPr>
              <w:pStyle w:val="8"/>
              <w:spacing w:before="120"/>
              <w:rPr>
                <w:b/>
              </w:rPr>
            </w:pPr>
            <w:r>
              <w:rPr>
                <w:b/>
              </w:rPr>
              <w:t>-1</w:t>
            </w:r>
          </w:p>
        </w:tc>
      </w:tr>
    </w:tbl>
    <w:p>
      <w:pPr>
        <w:pStyle w:val="31"/>
        <w:numPr>
          <w:ilvl w:val="0"/>
          <w:numId w:val="0"/>
        </w:numPr>
        <w:spacing w:before="120" w:after="120"/>
      </w:pPr>
      <w:bookmarkStart w:id="135" w:name="_Toc17795"/>
      <w:r>
        <w:t>Where o</w:t>
      </w:r>
      <w:r>
        <w:rPr>
          <w:rFonts w:hint="eastAsia"/>
        </w:rPr>
        <w:t xml:space="preserve">ffset value = </w:t>
      </w:r>
      <w:r>
        <w:t>target</w:t>
      </w:r>
      <w:r>
        <w:rPr>
          <w:rFonts w:hint="eastAsia"/>
        </w:rPr>
        <w:t xml:space="preserve"> RI value - </w:t>
      </w:r>
      <w:r>
        <w:t>reference</w:t>
      </w:r>
      <w:r>
        <w:rPr>
          <w:rFonts w:hint="eastAsia"/>
        </w:rPr>
        <w:t xml:space="preserve"> RI value</w:t>
      </w:r>
      <w:r>
        <w:t>, and reference</w:t>
      </w:r>
      <w:r>
        <w:rPr>
          <w:rFonts w:hint="eastAsia"/>
        </w:rPr>
        <w:t xml:space="preserve"> RI value is the RI for </w:t>
      </w:r>
      <w:r>
        <w:t xml:space="preserve">the </w:t>
      </w:r>
      <w:r>
        <w:rPr>
          <w:rFonts w:hint="eastAsia"/>
        </w:rPr>
        <w:t>larg</w:t>
      </w:r>
      <w:r>
        <w:t>est</w:t>
      </w:r>
      <w:r>
        <w:rPr>
          <w:rFonts w:hint="eastAsia"/>
        </w:rPr>
        <w:t xml:space="preserve"> port numbers.</w:t>
      </w:r>
      <w:bookmarkEnd w:id="135"/>
    </w:p>
    <w:p>
      <w:pPr>
        <w:spacing w:before="120" w:after="120"/>
      </w:pPr>
    </w:p>
    <w:p>
      <w:pPr>
        <w:pStyle w:val="4"/>
        <w:numPr>
          <w:ilvl w:val="2"/>
          <w:numId w:val="10"/>
        </w:numPr>
        <w:spacing w:after="120"/>
        <w:ind w:right="210"/>
        <w:rPr>
          <w:rFonts w:ascii="Times New Roman" w:hAnsi="Times New Roman"/>
          <w:b/>
          <w:bCs/>
          <w:sz w:val="21"/>
          <w:szCs w:val="21"/>
        </w:rPr>
      </w:pPr>
      <w:r>
        <w:rPr>
          <w:rFonts w:hint="eastAsia" w:ascii="Times New Roman" w:hAnsi="Times New Roman"/>
          <w:b/>
          <w:bCs/>
          <w:sz w:val="21"/>
          <w:szCs w:val="21"/>
        </w:rPr>
        <w:t>CQI</w:t>
      </w:r>
    </w:p>
    <w:p>
      <w:pPr>
        <w:spacing w:before="120" w:after="120"/>
      </w:pPr>
      <w:r>
        <w:rPr>
          <w:rFonts w:hint="eastAsia"/>
        </w:rPr>
        <w:t xml:space="preserve">Similar as RI </w:t>
      </w:r>
      <w:r>
        <w:t>overhead reduction</w:t>
      </w:r>
      <w:r>
        <w:rPr>
          <w:rFonts w:hint="eastAsia"/>
        </w:rPr>
        <w:t xml:space="preserve">, the CQI with different number of ports will not change </w:t>
      </w:r>
      <w:r>
        <w:t>significantly</w:t>
      </w:r>
      <w:r>
        <w:rPr>
          <w:rFonts w:hint="eastAsia"/>
        </w:rPr>
        <w:t xml:space="preserve"> when the CSI-RS resources with different port numbers are nested</w:t>
      </w:r>
      <w:r>
        <w:t>.</w:t>
      </w:r>
      <w:r>
        <w:rPr>
          <w:rFonts w:hint="eastAsia"/>
        </w:rPr>
        <w:t xml:space="preserve"> </w:t>
      </w:r>
      <w:r>
        <w:t>T</w:t>
      </w:r>
      <w:r>
        <w:rPr>
          <w:rFonts w:hint="eastAsia"/>
        </w:rPr>
        <w:t>hus a differential CQI can be considered for multi-CSI report</w:t>
      </w:r>
      <w:r>
        <w:t xml:space="preserve">, where </w:t>
      </w:r>
      <w:r>
        <w:rPr>
          <w:rFonts w:hint="eastAsia"/>
        </w:rPr>
        <w:t xml:space="preserve">differential CQI is a differential between a CQI value with </w:t>
      </w:r>
      <w:r>
        <w:t xml:space="preserve">the </w:t>
      </w:r>
      <w:r>
        <w:rPr>
          <w:rFonts w:hint="eastAsia"/>
        </w:rPr>
        <w:t>large</w:t>
      </w:r>
      <w:r>
        <w:t>st</w:t>
      </w:r>
      <w:r>
        <w:rPr>
          <w:rFonts w:hint="eastAsia"/>
        </w:rPr>
        <w:t xml:space="preserve"> number of ports and the CQI value with smaller number of ports. </w:t>
      </w:r>
      <w:r>
        <w:t>Furthermore, l</w:t>
      </w:r>
      <w:r>
        <w:rPr>
          <w:rFonts w:hint="eastAsia"/>
        </w:rPr>
        <w:t>egacy method needs 4</w:t>
      </w:r>
      <w:r>
        <w:t>-</w:t>
      </w:r>
      <w:r>
        <w:rPr>
          <w:rFonts w:hint="eastAsia"/>
        </w:rPr>
        <w:t>bit for wideband CQI report, using differential CQI, the required number of bit</w:t>
      </w:r>
      <w:r>
        <w:t>s for CQI reporting</w:t>
      </w:r>
      <w:r>
        <w:rPr>
          <w:rFonts w:hint="eastAsia"/>
        </w:rPr>
        <w:t xml:space="preserve"> can be reduced to 2 or 1.</w:t>
      </w:r>
    </w:p>
    <w:p>
      <w:pPr>
        <w:pStyle w:val="31"/>
        <w:spacing w:before="120" w:after="120"/>
        <w:rPr>
          <w:lang w:val="en-US" w:eastAsia="zh-CN"/>
        </w:rPr>
      </w:pPr>
      <w:bookmarkStart w:id="136" w:name="_Toc17851"/>
      <w:r>
        <w:rPr>
          <w:rFonts w:hint="eastAsia"/>
          <w:lang w:val="en-US" w:eastAsia="zh-CN"/>
        </w:rPr>
        <w:t xml:space="preserve">Differential CQI can be considered to reduce </w:t>
      </w:r>
      <w:r>
        <w:rPr>
          <w:lang w:val="en-US" w:eastAsia="zh-CN"/>
        </w:rPr>
        <w:t>UCI</w:t>
      </w:r>
      <w:r>
        <w:rPr>
          <w:rFonts w:hint="eastAsia"/>
          <w:lang w:val="en-US" w:eastAsia="zh-CN"/>
        </w:rPr>
        <w:t xml:space="preserve"> overhead.</w:t>
      </w:r>
      <w:bookmarkEnd w:id="136"/>
    </w:p>
    <w:p>
      <w:pPr>
        <w:spacing w:before="120" w:after="120"/>
      </w:pPr>
      <w:r>
        <w:rPr>
          <w:rFonts w:hint="eastAsia"/>
        </w:rPr>
        <w:t>The following cases are simulated</w:t>
      </w:r>
      <w:r>
        <w:t xml:space="preserve"> for the performance of differential CQI</w:t>
      </w:r>
      <w:r>
        <w:rPr>
          <w:rFonts w:hint="eastAsia"/>
        </w:rPr>
        <w:t>.</w:t>
      </w:r>
    </w:p>
    <w:p>
      <w:pPr>
        <w:spacing w:before="120" w:after="120"/>
      </w:pPr>
      <w:r>
        <w:rPr>
          <w:rFonts w:hint="eastAsia"/>
        </w:rPr>
        <w:t>Case#1: Dynamic gNB antenna</w:t>
      </w:r>
      <w:r>
        <w:t xml:space="preserve"> adaptation</w:t>
      </w:r>
      <w:r>
        <w:rPr>
          <w:rFonts w:hint="eastAsia"/>
        </w:rPr>
        <w:t xml:space="preserve"> </w:t>
      </w:r>
      <w:r>
        <w:t>among</w:t>
      </w:r>
      <w:r>
        <w:rPr>
          <w:rFonts w:hint="eastAsia"/>
        </w:rPr>
        <w:t xml:space="preserve"> {32ports, 24ports,}.</w:t>
      </w:r>
    </w:p>
    <w:p>
      <w:pPr>
        <w:spacing w:before="120" w:after="120"/>
      </w:pPr>
      <w:r>
        <w:rPr>
          <w:rFonts w:hint="eastAsia"/>
        </w:rPr>
        <w:t>Case#2: Dynamic gNB antenna</w:t>
      </w:r>
      <w:r>
        <w:t xml:space="preserve"> adaptation</w:t>
      </w:r>
      <w:r>
        <w:rPr>
          <w:rFonts w:hint="eastAsia"/>
        </w:rPr>
        <w:t xml:space="preserve"> </w:t>
      </w:r>
      <w:r>
        <w:t>among</w:t>
      </w:r>
      <w:r>
        <w:rPr>
          <w:rFonts w:hint="eastAsia"/>
        </w:rPr>
        <w:t xml:space="preserve"> {32ports, 16ports}.</w:t>
      </w:r>
    </w:p>
    <w:p>
      <w:pPr>
        <w:spacing w:before="120" w:after="120"/>
      </w:pPr>
    </w:p>
    <w:p>
      <w:pPr>
        <w:spacing w:before="120" w:after="120"/>
      </w:pPr>
      <w:r>
        <w:rPr>
          <w:rFonts w:hint="eastAsia"/>
        </w:rPr>
        <w:t>In th</w:t>
      </w:r>
      <w:r>
        <w:t>e</w:t>
      </w:r>
      <w:r>
        <w:rPr>
          <w:rFonts w:hint="eastAsia"/>
        </w:rPr>
        <w:t xml:space="preserve"> simulation, a differential CQI value is used</w:t>
      </w:r>
      <w:r>
        <w:t xml:space="preserve"> to derive CQIs of different gNB adaptation patterns</w:t>
      </w:r>
      <w:r>
        <w:rPr>
          <w:rFonts w:hint="eastAsia"/>
        </w:rPr>
        <w:t>. The value is determined by an offset value</w:t>
      </w:r>
      <w:r>
        <w:t>, which</w:t>
      </w:r>
      <w:r>
        <w:rPr>
          <w:rFonts w:hint="eastAsia"/>
        </w:rPr>
        <w:t xml:space="preserve"> </w:t>
      </w:r>
      <w:r>
        <w:t>i</w:t>
      </w:r>
      <w:r>
        <w:rPr>
          <w:rFonts w:hint="eastAsia"/>
        </w:rPr>
        <w:t>s shown in Table 7.</w:t>
      </w:r>
    </w:p>
    <w:p>
      <w:pPr>
        <w:spacing w:before="120" w:after="120"/>
      </w:pPr>
      <w:r>
        <w:rPr>
          <w:rFonts w:hint="eastAsia"/>
        </w:rPr>
        <w:t xml:space="preserve">Offset value = wideband CQI index - </w:t>
      </w:r>
      <w:r>
        <w:t>reference</w:t>
      </w:r>
      <w:r>
        <w:rPr>
          <w:rFonts w:hint="eastAsia"/>
        </w:rPr>
        <w:t xml:space="preserve"> wideband CQI index</w:t>
      </w:r>
    </w:p>
    <w:p>
      <w:pPr>
        <w:spacing w:before="120" w:after="120"/>
        <w:jc w:val="center"/>
      </w:pPr>
      <w:r>
        <w:rPr>
          <w:rFonts w:hint="eastAsia"/>
        </w:rPr>
        <w:t>Table 7</w:t>
      </w:r>
      <w:r>
        <w:t xml:space="preserve"> </w:t>
      </w:r>
      <w:r>
        <w:rPr>
          <w:rFonts w:hint="eastAsia"/>
        </w:rPr>
        <w:t>differential CQI report</w:t>
      </w:r>
    </w:p>
    <w:tbl>
      <w:tblPr>
        <w:tblStyle w:val="1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92"/>
        <w:gridCol w:w="32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292" w:type="dxa"/>
          </w:tcPr>
          <w:p>
            <w:pPr>
              <w:spacing w:before="120" w:after="120"/>
              <w:jc w:val="center"/>
            </w:pPr>
            <w:r>
              <w:rPr>
                <w:rFonts w:hint="eastAsia"/>
              </w:rPr>
              <w:t>Differential CQI codepoint</w:t>
            </w:r>
          </w:p>
        </w:tc>
        <w:tc>
          <w:tcPr>
            <w:tcW w:w="3292" w:type="dxa"/>
          </w:tcPr>
          <w:p>
            <w:pPr>
              <w:spacing w:before="120" w:after="120"/>
              <w:jc w:val="center"/>
            </w:pPr>
            <w:r>
              <w:rPr>
                <w:rFonts w:hint="eastAsia"/>
              </w:rPr>
              <w:t>Offset 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292" w:type="dxa"/>
          </w:tcPr>
          <w:p>
            <w:pPr>
              <w:spacing w:before="120" w:after="120"/>
              <w:jc w:val="center"/>
            </w:pPr>
            <w:r>
              <w:rPr>
                <w:rFonts w:hint="eastAsia"/>
              </w:rPr>
              <w:t>0</w:t>
            </w:r>
          </w:p>
        </w:tc>
        <w:tc>
          <w:tcPr>
            <w:tcW w:w="3292" w:type="dxa"/>
          </w:tcPr>
          <w:p>
            <w:pPr>
              <w:spacing w:before="120" w:after="120"/>
              <w:jc w:val="cente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92" w:type="dxa"/>
          </w:tcPr>
          <w:p>
            <w:pPr>
              <w:spacing w:before="120" w:after="120"/>
              <w:jc w:val="center"/>
            </w:pPr>
            <w:r>
              <w:rPr>
                <w:rFonts w:hint="eastAsia"/>
              </w:rPr>
              <w:t>1</w:t>
            </w:r>
          </w:p>
        </w:tc>
        <w:tc>
          <w:tcPr>
            <w:tcW w:w="3292" w:type="dxa"/>
          </w:tcPr>
          <w:p>
            <w:pPr>
              <w:spacing w:before="120" w:after="120"/>
              <w:jc w:val="center"/>
            </w:pPr>
            <w:r>
              <w:rPr>
                <w:rFonts w:hint="eastAsia"/>
              </w:rPr>
              <w:t>&lt;0</w:t>
            </w:r>
          </w:p>
        </w:tc>
      </w:tr>
    </w:tbl>
    <w:p>
      <w:pPr>
        <w:spacing w:before="120" w:after="120"/>
      </w:pPr>
      <w:r>
        <w:t>To be more specific, i</w:t>
      </w:r>
      <w:r>
        <w:rPr>
          <w:rFonts w:hint="eastAsia"/>
        </w:rPr>
        <w:t>f UE report</w:t>
      </w:r>
      <w:r>
        <w:t>ed</w:t>
      </w:r>
      <w:r>
        <w:rPr>
          <w:rFonts w:hint="eastAsia"/>
        </w:rPr>
        <w:t xml:space="preserve"> differential CQI is </w:t>
      </w:r>
      <w:r>
        <w:t>‘</w:t>
      </w:r>
      <w:r>
        <w:rPr>
          <w:rFonts w:hint="eastAsia"/>
        </w:rPr>
        <w:t>0</w:t>
      </w:r>
      <w:r>
        <w:t>’</w:t>
      </w:r>
      <w:r>
        <w:rPr>
          <w:rFonts w:hint="eastAsia"/>
        </w:rPr>
        <w:t xml:space="preserve">, the assumed differential CQI value is 0. </w:t>
      </w:r>
      <w:r>
        <w:t xml:space="preserve">Meanwhile, </w:t>
      </w:r>
      <w:r>
        <w:rPr>
          <w:rFonts w:hint="eastAsia"/>
        </w:rPr>
        <w:t>if UE report</w:t>
      </w:r>
      <w:r>
        <w:t>ed</w:t>
      </w:r>
      <w:r>
        <w:rPr>
          <w:rFonts w:hint="eastAsia"/>
        </w:rPr>
        <w:t xml:space="preserve"> differential CQI is </w:t>
      </w:r>
      <w:r>
        <w:t>‘</w:t>
      </w:r>
      <w:r>
        <w:rPr>
          <w:rFonts w:hint="eastAsia"/>
        </w:rPr>
        <w:t>1</w:t>
      </w:r>
      <w:r>
        <w:t>’</w:t>
      </w:r>
      <w:r>
        <w:rPr>
          <w:rFonts w:hint="eastAsia"/>
        </w:rPr>
        <w:t>, the assumed differential CQI value is X</w:t>
      </w:r>
      <w:r>
        <w:t>,</w:t>
      </w:r>
      <w:r>
        <w:rPr>
          <w:rFonts w:hint="eastAsia"/>
        </w:rPr>
        <w:t xml:space="preserve"> </w:t>
      </w:r>
      <w:r>
        <w:t xml:space="preserve">where </w:t>
      </w:r>
      <w:r>
        <w:rPr>
          <w:rFonts w:hint="eastAsia"/>
        </w:rPr>
        <w:t xml:space="preserve">X </w:t>
      </w:r>
      <w:r>
        <w:t>can be</w:t>
      </w:r>
      <w:r>
        <w:rPr>
          <w:rFonts w:hint="eastAsia"/>
        </w:rPr>
        <w:t xml:space="preserve"> different in different cases.</w:t>
      </w:r>
    </w:p>
    <w:p>
      <w:pPr>
        <w:spacing w:before="120" w:after="120"/>
      </w:pPr>
      <w:r>
        <w:t>The t</w:t>
      </w:r>
      <w:r>
        <w:rPr>
          <w:rFonts w:hint="eastAsia"/>
        </w:rPr>
        <w:t xml:space="preserve">hroughput loss </w:t>
      </w:r>
      <w:r>
        <w:t xml:space="preserve">of </w:t>
      </w:r>
      <w:r>
        <w:rPr>
          <w:rFonts w:hint="eastAsia"/>
        </w:rPr>
        <w:t>1</w:t>
      </w:r>
      <w:r>
        <w:t>-</w:t>
      </w:r>
      <w:r>
        <w:rPr>
          <w:rFonts w:hint="eastAsia"/>
        </w:rPr>
        <w:t xml:space="preserve">bit differential </w:t>
      </w:r>
      <w:r>
        <w:t>CQ</w:t>
      </w:r>
      <w:r>
        <w:rPr>
          <w:rFonts w:hint="eastAsia"/>
        </w:rPr>
        <w:t>I compared with multi</w:t>
      </w:r>
      <w:r>
        <w:t>ple separate CQI</w:t>
      </w:r>
      <w:r>
        <w:rPr>
          <w:rFonts w:hint="eastAsia"/>
        </w:rPr>
        <w:t xml:space="preserve"> reporting </w:t>
      </w:r>
      <w:r>
        <w:t xml:space="preserve">is provided in Table </w:t>
      </w:r>
      <w:r>
        <w:rPr>
          <w:rFonts w:hint="eastAsia"/>
        </w:rPr>
        <w:t>8</w:t>
      </w:r>
      <w:r>
        <w:t xml:space="preserve">. Where the different X values are reflected in the “differential CQI value” column. </w:t>
      </w:r>
    </w:p>
    <w:p>
      <w:pPr>
        <w:spacing w:before="120" w:after="120"/>
        <w:jc w:val="center"/>
      </w:pPr>
      <w:r>
        <w:rPr>
          <w:rFonts w:hint="eastAsia"/>
        </w:rPr>
        <w:t>Table</w:t>
      </w:r>
      <w:r>
        <w:t xml:space="preserve"> </w:t>
      </w:r>
      <w:r>
        <w:rPr>
          <w:rFonts w:hint="eastAsia"/>
        </w:rPr>
        <w:t xml:space="preserve">8 </w:t>
      </w:r>
      <w:r>
        <w:t>S</w:t>
      </w:r>
      <w:r>
        <w:rPr>
          <w:rFonts w:hint="eastAsia"/>
        </w:rPr>
        <w:t>imulation results of using 1</w:t>
      </w:r>
      <w:r>
        <w:t>-</w:t>
      </w:r>
      <w:r>
        <w:rPr>
          <w:rFonts w:hint="eastAsia"/>
        </w:rPr>
        <w:t>bit differential CQI</w:t>
      </w:r>
    </w:p>
    <w:tbl>
      <w:tblPr>
        <w:tblStyle w:val="18"/>
        <w:tblW w:w="9906" w:type="dxa"/>
        <w:jc w:val="center"/>
        <w:tblCellSpacing w:w="0" w:type="dxa"/>
        <w:tblLayout w:type="fixed"/>
        <w:tblCellMar>
          <w:top w:w="0" w:type="dxa"/>
          <w:left w:w="0" w:type="dxa"/>
          <w:bottom w:w="0" w:type="dxa"/>
          <w:right w:w="0" w:type="dxa"/>
        </w:tblCellMar>
      </w:tblPr>
      <w:tblGrid>
        <w:gridCol w:w="1583"/>
        <w:gridCol w:w="1186"/>
        <w:gridCol w:w="1487"/>
        <w:gridCol w:w="1820"/>
        <w:gridCol w:w="1915"/>
        <w:gridCol w:w="1915"/>
      </w:tblGrid>
      <w:tr>
        <w:tblPrEx>
          <w:tblCellMar>
            <w:top w:w="0" w:type="dxa"/>
            <w:left w:w="0" w:type="dxa"/>
            <w:bottom w:w="0" w:type="dxa"/>
            <w:right w:w="0" w:type="dxa"/>
          </w:tblCellMar>
        </w:tblPrEx>
        <w:trPr>
          <w:trHeight w:val="440" w:hRule="atLeast"/>
          <w:tblCellSpacing w:w="0" w:type="dxa"/>
          <w:jc w:val="center"/>
        </w:trPr>
        <w:tc>
          <w:tcPr>
            <w:tcW w:w="1583" w:type="dxa"/>
            <w:tcBorders>
              <w:top w:val="single" w:color="4F81BD" w:sz="8" w:space="0"/>
              <w:left w:val="single" w:color="4F81BD" w:sz="8" w:space="0"/>
              <w:bottom w:val="single" w:color="4F81BD" w:sz="8" w:space="0"/>
              <w:right w:val="dotted" w:color="auto" w:sz="6" w:space="0"/>
            </w:tcBorders>
            <w:shd w:val="clear" w:color="auto" w:fill="4F81BD"/>
            <w:tcMar>
              <w:top w:w="54" w:type="dxa"/>
              <w:left w:w="108" w:type="dxa"/>
              <w:bottom w:w="54" w:type="dxa"/>
              <w:right w:w="108" w:type="dxa"/>
            </w:tcMar>
            <w:vAlign w:val="center"/>
          </w:tcPr>
          <w:p>
            <w:pPr>
              <w:pStyle w:val="16"/>
              <w:spacing w:before="120" w:after="120"/>
              <w:jc w:val="center"/>
              <w:rPr>
                <w:b/>
                <w:color w:val="FFFFFF" w:themeColor="background1"/>
                <w:sz w:val="18"/>
                <w:szCs w:val="18"/>
                <w14:textFill>
                  <w14:solidFill>
                    <w14:schemeClr w14:val="bg1"/>
                  </w14:solidFill>
                </w14:textFill>
              </w:rPr>
            </w:pPr>
            <w:r>
              <w:rPr>
                <w:b/>
                <w:color w:val="FFFFFF" w:themeColor="background1"/>
                <w:sz w:val="18"/>
                <w:szCs w:val="18"/>
                <w14:textFill>
                  <w14:solidFill>
                    <w14:schemeClr w14:val="bg1"/>
                  </w14:solidFill>
                </w14:textFill>
              </w:rPr>
              <w:t>Throughput loss</w:t>
            </w:r>
          </w:p>
        </w:tc>
        <w:tc>
          <w:tcPr>
            <w:tcW w:w="1186" w:type="dxa"/>
            <w:tcBorders>
              <w:top w:val="single" w:color="4F81BD" w:sz="8" w:space="0"/>
              <w:left w:val="dotted" w:color="auto" w:sz="6" w:space="0"/>
              <w:bottom w:val="single" w:color="4F81BD" w:sz="8" w:space="0"/>
              <w:right w:val="dotted" w:color="auto" w:sz="6" w:space="0"/>
            </w:tcBorders>
            <w:shd w:val="clear" w:color="auto" w:fill="4F81BD"/>
            <w:tcMar>
              <w:top w:w="54" w:type="dxa"/>
              <w:left w:w="108" w:type="dxa"/>
              <w:bottom w:w="54" w:type="dxa"/>
              <w:right w:w="108" w:type="dxa"/>
            </w:tcMar>
            <w:vAlign w:val="center"/>
          </w:tcPr>
          <w:p>
            <w:pPr>
              <w:pStyle w:val="16"/>
              <w:spacing w:before="120" w:after="120"/>
              <w:jc w:val="center"/>
              <w:rPr>
                <w:b/>
                <w:color w:val="FFFFFF"/>
                <w:sz w:val="18"/>
                <w:szCs w:val="18"/>
              </w:rPr>
            </w:pPr>
            <w:r>
              <w:rPr>
                <w:b/>
                <w:color w:val="FFFFFF"/>
                <w:sz w:val="18"/>
                <w:szCs w:val="18"/>
              </w:rPr>
              <w:t>Differential CQI value</w:t>
            </w:r>
            <w:r>
              <w:rPr>
                <w:rFonts w:hint="eastAsia"/>
                <w:b/>
                <w:color w:val="FFFFFF"/>
                <w:sz w:val="18"/>
                <w:szCs w:val="18"/>
              </w:rPr>
              <w:t xml:space="preserve"> </w:t>
            </w:r>
            <w:r>
              <w:rPr>
                <w:color w:val="FFFFFF"/>
                <w:sz w:val="18"/>
                <w:szCs w:val="18"/>
              </w:rPr>
              <w:t>[0, X]</w:t>
            </w:r>
            <w:r>
              <w:rPr>
                <w:b/>
                <w:color w:val="FFFFFF"/>
                <w:sz w:val="18"/>
                <w:szCs w:val="18"/>
              </w:rPr>
              <w:t xml:space="preserve"> </w:t>
            </w:r>
          </w:p>
        </w:tc>
        <w:tc>
          <w:tcPr>
            <w:tcW w:w="1487" w:type="dxa"/>
            <w:tcBorders>
              <w:top w:val="single" w:color="4F81BD" w:sz="8" w:space="0"/>
              <w:left w:val="dotted" w:color="auto" w:sz="6" w:space="0"/>
              <w:bottom w:val="single" w:color="4F81BD" w:sz="8" w:space="0"/>
              <w:right w:val="dotted" w:color="auto" w:sz="6" w:space="0"/>
            </w:tcBorders>
            <w:shd w:val="clear" w:color="auto" w:fill="4F81BD"/>
            <w:tcMar>
              <w:top w:w="54" w:type="dxa"/>
              <w:left w:w="108" w:type="dxa"/>
              <w:bottom w:w="54" w:type="dxa"/>
              <w:right w:w="108" w:type="dxa"/>
            </w:tcMar>
            <w:vAlign w:val="center"/>
          </w:tcPr>
          <w:p>
            <w:pPr>
              <w:pStyle w:val="16"/>
              <w:spacing w:before="120" w:after="120"/>
              <w:jc w:val="center"/>
              <w:rPr>
                <w:color w:val="FFFFFF" w:themeColor="background1"/>
                <w:sz w:val="18"/>
                <w:szCs w:val="18"/>
                <w14:textFill>
                  <w14:solidFill>
                    <w14:schemeClr w14:val="bg1"/>
                  </w14:solidFill>
                </w14:textFill>
              </w:rPr>
            </w:pPr>
            <w:r>
              <w:rPr>
                <w:b/>
                <w:color w:val="FFFFFF" w:themeColor="background1"/>
                <w:sz w:val="18"/>
                <w:szCs w:val="18"/>
                <w14:textFill>
                  <w14:solidFill>
                    <w14:schemeClr w14:val="bg1"/>
                  </w14:solidFill>
                </w14:textFill>
              </w:rPr>
              <w:t>Average UE throughput</w:t>
            </w:r>
          </w:p>
        </w:tc>
        <w:tc>
          <w:tcPr>
            <w:tcW w:w="1820" w:type="dxa"/>
            <w:tcBorders>
              <w:top w:val="single" w:color="4F81BD" w:sz="8" w:space="0"/>
              <w:left w:val="dotted" w:color="auto" w:sz="6" w:space="0"/>
              <w:bottom w:val="single" w:color="4F81BD" w:sz="8" w:space="0"/>
              <w:right w:val="dotted" w:color="auto" w:sz="6" w:space="0"/>
            </w:tcBorders>
            <w:shd w:val="clear" w:color="auto" w:fill="4F81BD"/>
            <w:tcMar>
              <w:top w:w="54" w:type="dxa"/>
              <w:left w:w="108" w:type="dxa"/>
              <w:bottom w:w="54" w:type="dxa"/>
              <w:right w:w="108" w:type="dxa"/>
            </w:tcMar>
            <w:vAlign w:val="center"/>
          </w:tcPr>
          <w:p>
            <w:pPr>
              <w:pStyle w:val="16"/>
              <w:spacing w:before="120" w:after="120"/>
              <w:jc w:val="center"/>
              <w:rPr>
                <w:color w:val="FFFFFF"/>
                <w:sz w:val="18"/>
                <w:szCs w:val="18"/>
              </w:rPr>
            </w:pPr>
            <w:r>
              <w:rPr>
                <w:b/>
                <w:color w:val="FFFFFF"/>
                <w:sz w:val="18"/>
                <w:szCs w:val="18"/>
              </w:rPr>
              <w:t>5% UE throughput</w:t>
            </w:r>
          </w:p>
        </w:tc>
        <w:tc>
          <w:tcPr>
            <w:tcW w:w="1915" w:type="dxa"/>
            <w:tcBorders>
              <w:top w:val="single" w:color="4F81BD" w:sz="8" w:space="0"/>
              <w:left w:val="dotted" w:color="auto" w:sz="6" w:space="0"/>
              <w:bottom w:val="single" w:color="4F81BD" w:sz="8" w:space="0"/>
              <w:right w:val="dotted" w:color="auto" w:sz="6" w:space="0"/>
            </w:tcBorders>
            <w:shd w:val="clear" w:color="auto" w:fill="4F81BD"/>
            <w:tcMar>
              <w:top w:w="54" w:type="dxa"/>
              <w:left w:w="108" w:type="dxa"/>
              <w:bottom w:w="54" w:type="dxa"/>
              <w:right w:w="108" w:type="dxa"/>
            </w:tcMar>
            <w:vAlign w:val="center"/>
          </w:tcPr>
          <w:p>
            <w:pPr>
              <w:pStyle w:val="16"/>
              <w:spacing w:before="120" w:after="120"/>
              <w:jc w:val="center"/>
              <w:rPr>
                <w:color w:val="FFFFFF"/>
                <w:sz w:val="18"/>
                <w:szCs w:val="18"/>
              </w:rPr>
            </w:pPr>
            <w:r>
              <w:rPr>
                <w:b/>
                <w:color w:val="FFFFFF"/>
                <w:sz w:val="18"/>
                <w:szCs w:val="18"/>
              </w:rPr>
              <w:t>50% UE throughput</w:t>
            </w:r>
          </w:p>
        </w:tc>
        <w:tc>
          <w:tcPr>
            <w:tcW w:w="1915" w:type="dxa"/>
            <w:tcBorders>
              <w:top w:val="single" w:color="4F81BD" w:sz="8" w:space="0"/>
              <w:left w:val="dotted" w:color="auto" w:sz="6" w:space="0"/>
              <w:bottom w:val="single" w:color="4F81BD" w:sz="8" w:space="0"/>
              <w:right w:val="single" w:color="4F81BD" w:sz="8" w:space="0"/>
            </w:tcBorders>
            <w:shd w:val="clear" w:color="auto" w:fill="4F81BD"/>
            <w:tcMar>
              <w:top w:w="54" w:type="dxa"/>
              <w:left w:w="108" w:type="dxa"/>
              <w:bottom w:w="54" w:type="dxa"/>
              <w:right w:w="108" w:type="dxa"/>
            </w:tcMar>
            <w:vAlign w:val="center"/>
          </w:tcPr>
          <w:p>
            <w:pPr>
              <w:pStyle w:val="16"/>
              <w:spacing w:before="120" w:after="120"/>
              <w:jc w:val="center"/>
              <w:rPr>
                <w:color w:val="FFFFFF"/>
                <w:sz w:val="18"/>
                <w:szCs w:val="18"/>
              </w:rPr>
            </w:pPr>
            <w:r>
              <w:rPr>
                <w:b/>
                <w:color w:val="FFFFFF"/>
                <w:sz w:val="18"/>
                <w:szCs w:val="18"/>
              </w:rPr>
              <w:t>95% UE throughput</w:t>
            </w:r>
          </w:p>
        </w:tc>
      </w:tr>
      <w:tr>
        <w:tblPrEx>
          <w:tblCellMar>
            <w:top w:w="0" w:type="dxa"/>
            <w:left w:w="0" w:type="dxa"/>
            <w:bottom w:w="0" w:type="dxa"/>
            <w:right w:w="0" w:type="dxa"/>
          </w:tblCellMar>
        </w:tblPrEx>
        <w:trPr>
          <w:trHeight w:val="340" w:hRule="atLeast"/>
          <w:tblCellSpacing w:w="0" w:type="dxa"/>
          <w:jc w:val="center"/>
        </w:trPr>
        <w:tc>
          <w:tcPr>
            <w:tcW w:w="1583" w:type="dxa"/>
            <w:vMerge w:val="restart"/>
            <w:tcBorders>
              <w:top w:val="single" w:color="000000" w:sz="8" w:space="0"/>
              <w:left w:val="single" w:color="000000" w:sz="8" w:space="0"/>
              <w:bottom w:val="single" w:color="000000" w:sz="8" w:space="0"/>
              <w:right w:val="single" w:color="000000" w:sz="8" w:space="0"/>
            </w:tcBorders>
            <w:shd w:val="clear" w:color="auto" w:fill="FFFFFF"/>
            <w:tcMar>
              <w:top w:w="54" w:type="dxa"/>
              <w:left w:w="108" w:type="dxa"/>
              <w:bottom w:w="54" w:type="dxa"/>
              <w:right w:w="108" w:type="dxa"/>
            </w:tcMar>
            <w:vAlign w:val="center"/>
          </w:tcPr>
          <w:p>
            <w:pPr>
              <w:pStyle w:val="16"/>
              <w:spacing w:before="120" w:after="120"/>
              <w:jc w:val="center"/>
              <w:rPr>
                <w:color w:val="000000"/>
                <w:sz w:val="18"/>
                <w:szCs w:val="18"/>
              </w:rPr>
            </w:pPr>
            <w:r>
              <w:rPr>
                <w:color w:val="000000"/>
                <w:sz w:val="18"/>
                <w:szCs w:val="18"/>
              </w:rPr>
              <w:t>Case#1</w:t>
            </w:r>
          </w:p>
        </w:tc>
        <w:tc>
          <w:tcPr>
            <w:tcW w:w="1186" w:type="dxa"/>
            <w:tcBorders>
              <w:top w:val="single" w:color="4F81BD" w:sz="8" w:space="0"/>
              <w:left w:val="dotted" w:color="auto" w:sz="6" w:space="0"/>
              <w:bottom w:val="single" w:color="4F81BD" w:sz="8" w:space="0"/>
              <w:right w:val="dotted" w:color="auto" w:sz="6" w:space="0"/>
            </w:tcBorders>
            <w:shd w:val="clear" w:color="auto" w:fill="E9EDF4"/>
            <w:tcMar>
              <w:top w:w="54" w:type="dxa"/>
              <w:left w:w="108" w:type="dxa"/>
              <w:bottom w:w="54" w:type="dxa"/>
              <w:right w:w="108" w:type="dxa"/>
            </w:tcMar>
            <w:vAlign w:val="center"/>
          </w:tcPr>
          <w:p>
            <w:pPr>
              <w:pStyle w:val="16"/>
              <w:spacing w:before="120" w:after="120"/>
              <w:jc w:val="center"/>
              <w:rPr>
                <w:color w:val="000000"/>
                <w:sz w:val="18"/>
                <w:szCs w:val="18"/>
              </w:rPr>
            </w:pPr>
            <w:r>
              <w:rPr>
                <w:color w:val="000000"/>
                <w:sz w:val="18"/>
                <w:szCs w:val="18"/>
              </w:rPr>
              <w:t xml:space="preserve"> [0, -1]</w:t>
            </w:r>
          </w:p>
        </w:tc>
        <w:tc>
          <w:tcPr>
            <w:tcW w:w="1487" w:type="dxa"/>
            <w:tcBorders>
              <w:top w:val="single" w:color="4F81BD" w:sz="8" w:space="0"/>
              <w:left w:val="dotted" w:color="auto" w:sz="6" w:space="0"/>
              <w:bottom w:val="single" w:color="4F81BD" w:sz="8" w:space="0"/>
              <w:right w:val="dotted" w:color="auto" w:sz="6" w:space="0"/>
            </w:tcBorders>
            <w:shd w:val="clear" w:color="auto" w:fill="E9EDF4"/>
            <w:tcMar>
              <w:top w:w="54" w:type="dxa"/>
              <w:left w:w="108" w:type="dxa"/>
              <w:bottom w:w="54" w:type="dxa"/>
              <w:right w:w="108" w:type="dxa"/>
            </w:tcMar>
            <w:vAlign w:val="center"/>
          </w:tcPr>
          <w:p>
            <w:pPr>
              <w:spacing w:before="120" w:after="120"/>
              <w:jc w:val="center"/>
              <w:textAlignment w:val="center"/>
              <w:rPr>
                <w:color w:val="000000"/>
                <w:kern w:val="0"/>
                <w:sz w:val="18"/>
                <w:szCs w:val="18"/>
                <w:lang w:bidi="ar"/>
              </w:rPr>
            </w:pPr>
            <w:r>
              <w:rPr>
                <w:color w:val="000000"/>
                <w:kern w:val="0"/>
                <w:sz w:val="18"/>
                <w:szCs w:val="18"/>
                <w:lang w:bidi="ar"/>
              </w:rPr>
              <w:t>0.15%</w:t>
            </w:r>
          </w:p>
        </w:tc>
        <w:tc>
          <w:tcPr>
            <w:tcW w:w="1820" w:type="dxa"/>
            <w:tcBorders>
              <w:top w:val="single" w:color="4F81BD" w:sz="8" w:space="0"/>
              <w:left w:val="dotted" w:color="auto" w:sz="6" w:space="0"/>
              <w:bottom w:val="single" w:color="4F81BD" w:sz="8" w:space="0"/>
              <w:right w:val="dotted" w:color="auto" w:sz="6" w:space="0"/>
            </w:tcBorders>
            <w:shd w:val="clear" w:color="auto" w:fill="E9EDF4"/>
            <w:tcMar>
              <w:top w:w="54" w:type="dxa"/>
              <w:left w:w="108" w:type="dxa"/>
              <w:bottom w:w="54" w:type="dxa"/>
              <w:right w:w="108" w:type="dxa"/>
            </w:tcMar>
            <w:vAlign w:val="center"/>
          </w:tcPr>
          <w:p>
            <w:pPr>
              <w:spacing w:before="120" w:after="120"/>
              <w:jc w:val="center"/>
              <w:textAlignment w:val="center"/>
              <w:rPr>
                <w:color w:val="000000"/>
                <w:kern w:val="0"/>
                <w:sz w:val="18"/>
                <w:szCs w:val="18"/>
                <w:lang w:bidi="ar"/>
              </w:rPr>
            </w:pPr>
            <w:r>
              <w:rPr>
                <w:color w:val="000000"/>
                <w:kern w:val="0"/>
                <w:sz w:val="18"/>
                <w:szCs w:val="18"/>
                <w:lang w:bidi="ar"/>
              </w:rPr>
              <w:t>0.83%</w:t>
            </w:r>
          </w:p>
        </w:tc>
        <w:tc>
          <w:tcPr>
            <w:tcW w:w="1915" w:type="dxa"/>
            <w:tcBorders>
              <w:top w:val="single" w:color="4F81BD" w:sz="8" w:space="0"/>
              <w:left w:val="dotted" w:color="auto" w:sz="6" w:space="0"/>
              <w:bottom w:val="single" w:color="4F81BD" w:sz="8" w:space="0"/>
              <w:right w:val="dotted" w:color="auto" w:sz="6" w:space="0"/>
            </w:tcBorders>
            <w:shd w:val="clear" w:color="auto" w:fill="E9EDF4"/>
            <w:tcMar>
              <w:top w:w="54" w:type="dxa"/>
              <w:left w:w="108" w:type="dxa"/>
              <w:bottom w:w="54" w:type="dxa"/>
              <w:right w:w="108" w:type="dxa"/>
            </w:tcMar>
            <w:vAlign w:val="center"/>
          </w:tcPr>
          <w:p>
            <w:pPr>
              <w:spacing w:before="120" w:after="120"/>
              <w:jc w:val="center"/>
              <w:textAlignment w:val="center"/>
              <w:rPr>
                <w:color w:val="000000"/>
                <w:kern w:val="0"/>
                <w:sz w:val="18"/>
                <w:szCs w:val="18"/>
                <w:lang w:bidi="ar"/>
              </w:rPr>
            </w:pPr>
            <w:r>
              <w:rPr>
                <w:color w:val="000000"/>
                <w:kern w:val="0"/>
                <w:sz w:val="18"/>
                <w:szCs w:val="18"/>
                <w:lang w:bidi="ar"/>
              </w:rPr>
              <w:t>0.30%</w:t>
            </w:r>
          </w:p>
        </w:tc>
        <w:tc>
          <w:tcPr>
            <w:tcW w:w="1915" w:type="dxa"/>
            <w:tcBorders>
              <w:top w:val="single" w:color="4F81BD" w:sz="8" w:space="0"/>
              <w:left w:val="dotted" w:color="auto" w:sz="6" w:space="0"/>
              <w:bottom w:val="single" w:color="4F81BD" w:sz="8" w:space="0"/>
              <w:right w:val="single" w:color="4F81BD" w:sz="8" w:space="0"/>
            </w:tcBorders>
            <w:shd w:val="clear" w:color="auto" w:fill="E9EDF4"/>
            <w:tcMar>
              <w:top w:w="54" w:type="dxa"/>
              <w:left w:w="108" w:type="dxa"/>
              <w:bottom w:w="54" w:type="dxa"/>
              <w:right w:w="108" w:type="dxa"/>
            </w:tcMar>
            <w:vAlign w:val="center"/>
          </w:tcPr>
          <w:p>
            <w:pPr>
              <w:spacing w:before="120" w:after="120"/>
              <w:jc w:val="center"/>
              <w:textAlignment w:val="center"/>
              <w:rPr>
                <w:color w:val="000000"/>
                <w:kern w:val="0"/>
                <w:sz w:val="18"/>
                <w:szCs w:val="18"/>
                <w:lang w:bidi="ar"/>
              </w:rPr>
            </w:pPr>
            <w:r>
              <w:rPr>
                <w:color w:val="000000"/>
                <w:kern w:val="0"/>
                <w:sz w:val="18"/>
                <w:szCs w:val="18"/>
                <w:lang w:bidi="ar"/>
              </w:rPr>
              <w:t>-0.25%</w:t>
            </w:r>
          </w:p>
        </w:tc>
      </w:tr>
      <w:tr>
        <w:tblPrEx>
          <w:tblCellMar>
            <w:top w:w="0" w:type="dxa"/>
            <w:left w:w="0" w:type="dxa"/>
            <w:bottom w:w="0" w:type="dxa"/>
            <w:right w:w="0" w:type="dxa"/>
          </w:tblCellMar>
        </w:tblPrEx>
        <w:trPr>
          <w:trHeight w:val="340" w:hRule="atLeast"/>
          <w:tblCellSpacing w:w="0" w:type="dxa"/>
          <w:jc w:val="center"/>
        </w:trPr>
        <w:tc>
          <w:tcPr>
            <w:tcW w:w="1583" w:type="dxa"/>
            <w:vMerge w:val="continue"/>
            <w:tcBorders>
              <w:top w:val="single" w:color="000000" w:sz="8" w:space="0"/>
              <w:left w:val="single" w:color="000000" w:sz="8" w:space="0"/>
              <w:bottom w:val="single" w:color="000000" w:sz="8" w:space="0"/>
              <w:right w:val="single" w:color="000000" w:sz="8" w:space="0"/>
            </w:tcBorders>
            <w:shd w:val="clear" w:color="auto" w:fill="FFFFFF"/>
            <w:tcMar>
              <w:top w:w="54" w:type="dxa"/>
              <w:left w:w="108" w:type="dxa"/>
              <w:bottom w:w="54" w:type="dxa"/>
              <w:right w:w="108" w:type="dxa"/>
            </w:tcMar>
            <w:vAlign w:val="center"/>
          </w:tcPr>
          <w:p>
            <w:pPr>
              <w:pStyle w:val="16"/>
              <w:spacing w:before="120" w:after="120"/>
              <w:jc w:val="both"/>
              <w:rPr>
                <w:color w:val="000000"/>
                <w:sz w:val="18"/>
                <w:szCs w:val="18"/>
              </w:rPr>
            </w:pPr>
          </w:p>
        </w:tc>
        <w:tc>
          <w:tcPr>
            <w:tcW w:w="1186" w:type="dxa"/>
            <w:tcBorders>
              <w:top w:val="single" w:color="4F81BD" w:sz="8" w:space="0"/>
              <w:left w:val="dotted" w:color="auto" w:sz="6" w:space="0"/>
              <w:bottom w:val="single" w:color="4F81BD" w:sz="8" w:space="0"/>
              <w:right w:val="dotted" w:color="auto" w:sz="6" w:space="0"/>
            </w:tcBorders>
            <w:shd w:val="clear" w:color="auto" w:fill="FFFFFF"/>
            <w:tcMar>
              <w:top w:w="54" w:type="dxa"/>
              <w:left w:w="108" w:type="dxa"/>
              <w:bottom w:w="54" w:type="dxa"/>
              <w:right w:w="108" w:type="dxa"/>
            </w:tcMar>
            <w:vAlign w:val="center"/>
          </w:tcPr>
          <w:p>
            <w:pPr>
              <w:pStyle w:val="16"/>
              <w:spacing w:before="120" w:after="120"/>
              <w:jc w:val="center"/>
              <w:rPr>
                <w:color w:val="000000"/>
                <w:sz w:val="18"/>
                <w:szCs w:val="18"/>
              </w:rPr>
            </w:pPr>
            <w:r>
              <w:rPr>
                <w:color w:val="000000"/>
                <w:sz w:val="18"/>
                <w:szCs w:val="18"/>
              </w:rPr>
              <w:t>[0, -2]</w:t>
            </w:r>
          </w:p>
        </w:tc>
        <w:tc>
          <w:tcPr>
            <w:tcW w:w="1487" w:type="dxa"/>
            <w:tcBorders>
              <w:top w:val="single" w:color="4F81BD" w:sz="8" w:space="0"/>
              <w:left w:val="dotted" w:color="auto" w:sz="6" w:space="0"/>
              <w:bottom w:val="single" w:color="4F81BD" w:sz="8" w:space="0"/>
              <w:right w:val="dotted" w:color="auto" w:sz="6" w:space="0"/>
            </w:tcBorders>
            <w:shd w:val="clear" w:color="auto" w:fill="FFFFFF"/>
            <w:tcMar>
              <w:top w:w="54" w:type="dxa"/>
              <w:left w:w="108" w:type="dxa"/>
              <w:bottom w:w="54" w:type="dxa"/>
              <w:right w:w="108" w:type="dxa"/>
            </w:tcMar>
            <w:vAlign w:val="center"/>
          </w:tcPr>
          <w:p>
            <w:pPr>
              <w:spacing w:before="120" w:after="120"/>
              <w:jc w:val="center"/>
              <w:textAlignment w:val="center"/>
              <w:rPr>
                <w:color w:val="000000"/>
                <w:kern w:val="0"/>
                <w:sz w:val="18"/>
                <w:szCs w:val="18"/>
                <w:lang w:bidi="ar"/>
              </w:rPr>
            </w:pPr>
            <w:r>
              <w:rPr>
                <w:color w:val="000000"/>
                <w:kern w:val="0"/>
                <w:sz w:val="18"/>
                <w:szCs w:val="18"/>
                <w:lang w:bidi="ar"/>
              </w:rPr>
              <w:t>1.88%</w:t>
            </w:r>
          </w:p>
        </w:tc>
        <w:tc>
          <w:tcPr>
            <w:tcW w:w="1820" w:type="dxa"/>
            <w:tcBorders>
              <w:top w:val="single" w:color="4F81BD" w:sz="8" w:space="0"/>
              <w:left w:val="dotted" w:color="auto" w:sz="6" w:space="0"/>
              <w:bottom w:val="single" w:color="4F81BD" w:sz="8" w:space="0"/>
              <w:right w:val="dotted" w:color="auto" w:sz="6" w:space="0"/>
            </w:tcBorders>
            <w:shd w:val="clear" w:color="auto" w:fill="FFFFFF"/>
            <w:tcMar>
              <w:top w:w="54" w:type="dxa"/>
              <w:left w:w="108" w:type="dxa"/>
              <w:bottom w:w="54" w:type="dxa"/>
              <w:right w:w="108" w:type="dxa"/>
            </w:tcMar>
            <w:vAlign w:val="center"/>
          </w:tcPr>
          <w:p>
            <w:pPr>
              <w:spacing w:before="120" w:after="120"/>
              <w:jc w:val="center"/>
              <w:textAlignment w:val="center"/>
              <w:rPr>
                <w:color w:val="000000"/>
                <w:kern w:val="0"/>
                <w:sz w:val="18"/>
                <w:szCs w:val="18"/>
                <w:lang w:bidi="ar"/>
              </w:rPr>
            </w:pPr>
            <w:r>
              <w:rPr>
                <w:color w:val="000000"/>
                <w:kern w:val="0"/>
                <w:sz w:val="18"/>
                <w:szCs w:val="18"/>
                <w:lang w:bidi="ar"/>
              </w:rPr>
              <w:t>2.23%</w:t>
            </w:r>
          </w:p>
        </w:tc>
        <w:tc>
          <w:tcPr>
            <w:tcW w:w="1915" w:type="dxa"/>
            <w:tcBorders>
              <w:top w:val="single" w:color="4F81BD" w:sz="8" w:space="0"/>
              <w:left w:val="dotted" w:color="auto" w:sz="6" w:space="0"/>
              <w:bottom w:val="single" w:color="4F81BD" w:sz="8" w:space="0"/>
              <w:right w:val="dotted" w:color="auto" w:sz="6" w:space="0"/>
            </w:tcBorders>
            <w:shd w:val="clear" w:color="auto" w:fill="FFFFFF"/>
            <w:tcMar>
              <w:top w:w="54" w:type="dxa"/>
              <w:left w:w="108" w:type="dxa"/>
              <w:bottom w:w="54" w:type="dxa"/>
              <w:right w:w="108" w:type="dxa"/>
            </w:tcMar>
            <w:vAlign w:val="center"/>
          </w:tcPr>
          <w:p>
            <w:pPr>
              <w:spacing w:before="120" w:after="120"/>
              <w:jc w:val="center"/>
              <w:textAlignment w:val="center"/>
              <w:rPr>
                <w:color w:val="000000"/>
                <w:kern w:val="0"/>
                <w:sz w:val="18"/>
                <w:szCs w:val="18"/>
                <w:lang w:bidi="ar"/>
              </w:rPr>
            </w:pPr>
            <w:r>
              <w:rPr>
                <w:color w:val="000000"/>
                <w:kern w:val="0"/>
                <w:sz w:val="18"/>
                <w:szCs w:val="18"/>
                <w:lang w:bidi="ar"/>
              </w:rPr>
              <w:t>2.29%</w:t>
            </w:r>
          </w:p>
        </w:tc>
        <w:tc>
          <w:tcPr>
            <w:tcW w:w="1915" w:type="dxa"/>
            <w:tcBorders>
              <w:top w:val="single" w:color="4F81BD" w:sz="8" w:space="0"/>
              <w:left w:val="dotted" w:color="auto" w:sz="6" w:space="0"/>
              <w:bottom w:val="single" w:color="4F81BD" w:sz="8" w:space="0"/>
              <w:right w:val="single" w:color="4F81BD" w:sz="8" w:space="0"/>
            </w:tcBorders>
            <w:shd w:val="clear" w:color="auto" w:fill="FFFFFF"/>
            <w:tcMar>
              <w:top w:w="54" w:type="dxa"/>
              <w:left w:w="108" w:type="dxa"/>
              <w:bottom w:w="54" w:type="dxa"/>
              <w:right w:w="108" w:type="dxa"/>
            </w:tcMar>
            <w:vAlign w:val="center"/>
          </w:tcPr>
          <w:p>
            <w:pPr>
              <w:spacing w:before="120" w:after="120"/>
              <w:jc w:val="center"/>
              <w:textAlignment w:val="center"/>
              <w:rPr>
                <w:color w:val="000000"/>
                <w:kern w:val="0"/>
                <w:sz w:val="18"/>
                <w:szCs w:val="18"/>
                <w:lang w:bidi="ar"/>
              </w:rPr>
            </w:pPr>
            <w:r>
              <w:rPr>
                <w:color w:val="000000"/>
                <w:kern w:val="0"/>
                <w:sz w:val="18"/>
                <w:szCs w:val="18"/>
                <w:lang w:bidi="ar"/>
              </w:rPr>
              <w:t>0.72%</w:t>
            </w:r>
          </w:p>
        </w:tc>
      </w:tr>
      <w:tr>
        <w:tblPrEx>
          <w:tblCellMar>
            <w:top w:w="0" w:type="dxa"/>
            <w:left w:w="0" w:type="dxa"/>
            <w:bottom w:w="0" w:type="dxa"/>
            <w:right w:w="0" w:type="dxa"/>
          </w:tblCellMar>
        </w:tblPrEx>
        <w:trPr>
          <w:trHeight w:val="340" w:hRule="atLeast"/>
          <w:tblCellSpacing w:w="0" w:type="dxa"/>
          <w:jc w:val="center"/>
        </w:trPr>
        <w:tc>
          <w:tcPr>
            <w:tcW w:w="1583" w:type="dxa"/>
            <w:vMerge w:val="restart"/>
            <w:tcBorders>
              <w:top w:val="single" w:color="000000" w:sz="8" w:space="0"/>
              <w:left w:val="single" w:color="000000" w:sz="8" w:space="0"/>
              <w:bottom w:val="single" w:color="000000" w:sz="8" w:space="0"/>
              <w:right w:val="single" w:color="000000" w:sz="8" w:space="0"/>
            </w:tcBorders>
            <w:shd w:val="clear" w:color="auto" w:fill="FFFFFF"/>
            <w:tcMar>
              <w:top w:w="54" w:type="dxa"/>
              <w:left w:w="108" w:type="dxa"/>
              <w:bottom w:w="54" w:type="dxa"/>
              <w:right w:w="108" w:type="dxa"/>
            </w:tcMar>
            <w:vAlign w:val="center"/>
          </w:tcPr>
          <w:p>
            <w:pPr>
              <w:pStyle w:val="16"/>
              <w:spacing w:before="120" w:after="120"/>
              <w:jc w:val="center"/>
              <w:rPr>
                <w:color w:val="000000"/>
                <w:sz w:val="18"/>
                <w:szCs w:val="18"/>
              </w:rPr>
            </w:pPr>
            <w:r>
              <w:rPr>
                <w:color w:val="000000"/>
                <w:sz w:val="18"/>
                <w:szCs w:val="18"/>
              </w:rPr>
              <w:t>Case#2</w:t>
            </w:r>
          </w:p>
        </w:tc>
        <w:tc>
          <w:tcPr>
            <w:tcW w:w="1186" w:type="dxa"/>
            <w:tcBorders>
              <w:top w:val="single" w:color="4F81BD" w:sz="8" w:space="0"/>
              <w:left w:val="dotted" w:color="auto" w:sz="6" w:space="0"/>
              <w:bottom w:val="single" w:color="4F81BD" w:sz="8" w:space="0"/>
              <w:right w:val="dotted" w:color="auto" w:sz="6" w:space="0"/>
            </w:tcBorders>
            <w:shd w:val="clear" w:color="auto" w:fill="E9EDF4"/>
            <w:tcMar>
              <w:top w:w="54" w:type="dxa"/>
              <w:left w:w="108" w:type="dxa"/>
              <w:bottom w:w="54" w:type="dxa"/>
              <w:right w:w="108" w:type="dxa"/>
            </w:tcMar>
            <w:vAlign w:val="center"/>
          </w:tcPr>
          <w:p>
            <w:pPr>
              <w:pStyle w:val="16"/>
              <w:spacing w:before="120" w:after="120"/>
              <w:jc w:val="center"/>
              <w:rPr>
                <w:color w:val="000000"/>
                <w:sz w:val="18"/>
                <w:szCs w:val="18"/>
              </w:rPr>
            </w:pPr>
            <w:r>
              <w:rPr>
                <w:color w:val="000000"/>
                <w:sz w:val="18"/>
                <w:szCs w:val="18"/>
              </w:rPr>
              <w:t>[0, -1]</w:t>
            </w:r>
          </w:p>
        </w:tc>
        <w:tc>
          <w:tcPr>
            <w:tcW w:w="1487" w:type="dxa"/>
            <w:tcBorders>
              <w:top w:val="single" w:color="4F81BD" w:sz="8" w:space="0"/>
              <w:left w:val="dotted" w:color="auto" w:sz="6" w:space="0"/>
              <w:bottom w:val="single" w:color="4F81BD" w:sz="8" w:space="0"/>
              <w:right w:val="dotted" w:color="auto" w:sz="6" w:space="0"/>
            </w:tcBorders>
            <w:shd w:val="clear" w:color="auto" w:fill="E9EDF4"/>
            <w:tcMar>
              <w:top w:w="54" w:type="dxa"/>
              <w:left w:w="108" w:type="dxa"/>
              <w:bottom w:w="54" w:type="dxa"/>
              <w:right w:w="108" w:type="dxa"/>
            </w:tcMar>
            <w:vAlign w:val="center"/>
          </w:tcPr>
          <w:p>
            <w:pPr>
              <w:spacing w:before="120" w:after="120"/>
              <w:jc w:val="center"/>
              <w:textAlignment w:val="center"/>
              <w:rPr>
                <w:color w:val="000000"/>
                <w:kern w:val="0"/>
                <w:sz w:val="18"/>
                <w:szCs w:val="18"/>
                <w:lang w:bidi="ar"/>
              </w:rPr>
            </w:pPr>
            <w:r>
              <w:rPr>
                <w:color w:val="000000"/>
                <w:kern w:val="0"/>
                <w:sz w:val="18"/>
                <w:szCs w:val="18"/>
                <w:lang w:bidi="ar"/>
              </w:rPr>
              <w:t>-1.58%</w:t>
            </w:r>
          </w:p>
        </w:tc>
        <w:tc>
          <w:tcPr>
            <w:tcW w:w="1820" w:type="dxa"/>
            <w:tcBorders>
              <w:top w:val="single" w:color="4F81BD" w:sz="8" w:space="0"/>
              <w:left w:val="dotted" w:color="auto" w:sz="6" w:space="0"/>
              <w:bottom w:val="single" w:color="4F81BD" w:sz="8" w:space="0"/>
              <w:right w:val="dotted" w:color="auto" w:sz="6" w:space="0"/>
            </w:tcBorders>
            <w:shd w:val="clear" w:color="auto" w:fill="E9EDF4"/>
            <w:tcMar>
              <w:top w:w="54" w:type="dxa"/>
              <w:left w:w="108" w:type="dxa"/>
              <w:bottom w:w="54" w:type="dxa"/>
              <w:right w:w="108" w:type="dxa"/>
            </w:tcMar>
            <w:vAlign w:val="center"/>
          </w:tcPr>
          <w:p>
            <w:pPr>
              <w:spacing w:before="120" w:after="120"/>
              <w:jc w:val="center"/>
              <w:textAlignment w:val="center"/>
              <w:rPr>
                <w:color w:val="000000"/>
                <w:kern w:val="0"/>
                <w:sz w:val="18"/>
                <w:szCs w:val="18"/>
                <w:lang w:bidi="ar"/>
              </w:rPr>
            </w:pPr>
            <w:r>
              <w:rPr>
                <w:color w:val="000000"/>
                <w:kern w:val="0"/>
                <w:sz w:val="18"/>
                <w:szCs w:val="18"/>
                <w:lang w:bidi="ar"/>
              </w:rPr>
              <w:t>-4.99%</w:t>
            </w:r>
          </w:p>
        </w:tc>
        <w:tc>
          <w:tcPr>
            <w:tcW w:w="1915" w:type="dxa"/>
            <w:tcBorders>
              <w:top w:val="single" w:color="4F81BD" w:sz="8" w:space="0"/>
              <w:left w:val="dotted" w:color="auto" w:sz="6" w:space="0"/>
              <w:bottom w:val="single" w:color="4F81BD" w:sz="8" w:space="0"/>
              <w:right w:val="dotted" w:color="auto" w:sz="6" w:space="0"/>
            </w:tcBorders>
            <w:shd w:val="clear" w:color="auto" w:fill="E9EDF4"/>
            <w:tcMar>
              <w:top w:w="54" w:type="dxa"/>
              <w:left w:w="108" w:type="dxa"/>
              <w:bottom w:w="54" w:type="dxa"/>
              <w:right w:w="108" w:type="dxa"/>
            </w:tcMar>
            <w:vAlign w:val="center"/>
          </w:tcPr>
          <w:p>
            <w:pPr>
              <w:spacing w:before="120" w:after="120"/>
              <w:jc w:val="center"/>
              <w:textAlignment w:val="center"/>
              <w:rPr>
                <w:color w:val="000000"/>
                <w:kern w:val="0"/>
                <w:sz w:val="18"/>
                <w:szCs w:val="18"/>
                <w:lang w:bidi="ar"/>
              </w:rPr>
            </w:pPr>
            <w:r>
              <w:rPr>
                <w:color w:val="000000"/>
                <w:kern w:val="0"/>
                <w:sz w:val="18"/>
                <w:szCs w:val="18"/>
                <w:lang w:bidi="ar"/>
              </w:rPr>
              <w:t>-1.35%</w:t>
            </w:r>
          </w:p>
        </w:tc>
        <w:tc>
          <w:tcPr>
            <w:tcW w:w="1915" w:type="dxa"/>
            <w:tcBorders>
              <w:top w:val="single" w:color="4F81BD" w:sz="8" w:space="0"/>
              <w:left w:val="dotted" w:color="auto" w:sz="6" w:space="0"/>
              <w:bottom w:val="single" w:color="4F81BD" w:sz="8" w:space="0"/>
              <w:right w:val="single" w:color="4F81BD" w:sz="8" w:space="0"/>
            </w:tcBorders>
            <w:shd w:val="clear" w:color="auto" w:fill="E9EDF4"/>
            <w:tcMar>
              <w:top w:w="54" w:type="dxa"/>
              <w:left w:w="108" w:type="dxa"/>
              <w:bottom w:w="54" w:type="dxa"/>
              <w:right w:w="108" w:type="dxa"/>
            </w:tcMar>
            <w:vAlign w:val="center"/>
          </w:tcPr>
          <w:p>
            <w:pPr>
              <w:spacing w:before="120" w:after="120"/>
              <w:jc w:val="center"/>
              <w:textAlignment w:val="center"/>
              <w:rPr>
                <w:color w:val="000000"/>
                <w:kern w:val="0"/>
                <w:sz w:val="18"/>
                <w:szCs w:val="18"/>
                <w:lang w:bidi="ar"/>
              </w:rPr>
            </w:pPr>
            <w:r>
              <w:rPr>
                <w:color w:val="000000"/>
                <w:kern w:val="0"/>
                <w:sz w:val="18"/>
                <w:szCs w:val="18"/>
                <w:lang w:bidi="ar"/>
              </w:rPr>
              <w:t>-0.29%</w:t>
            </w:r>
          </w:p>
        </w:tc>
      </w:tr>
      <w:tr>
        <w:tblPrEx>
          <w:tblCellMar>
            <w:top w:w="0" w:type="dxa"/>
            <w:left w:w="0" w:type="dxa"/>
            <w:bottom w:w="0" w:type="dxa"/>
            <w:right w:w="0" w:type="dxa"/>
          </w:tblCellMar>
        </w:tblPrEx>
        <w:trPr>
          <w:trHeight w:val="340" w:hRule="atLeast"/>
          <w:tblCellSpacing w:w="0" w:type="dxa"/>
          <w:jc w:val="center"/>
        </w:trPr>
        <w:tc>
          <w:tcPr>
            <w:tcW w:w="1583" w:type="dxa"/>
            <w:vMerge w:val="continue"/>
            <w:tcBorders>
              <w:top w:val="single" w:color="4F81BD" w:sz="8" w:space="0"/>
              <w:left w:val="single" w:color="4F81BD" w:sz="8" w:space="0"/>
              <w:bottom w:val="single" w:color="4F81BD" w:sz="8" w:space="0"/>
              <w:right w:val="dotted" w:color="auto" w:sz="6" w:space="0"/>
            </w:tcBorders>
            <w:shd w:val="clear" w:color="auto" w:fill="FFFFFF"/>
            <w:tcMar>
              <w:top w:w="54" w:type="dxa"/>
              <w:left w:w="108" w:type="dxa"/>
              <w:bottom w:w="54" w:type="dxa"/>
              <w:right w:w="108" w:type="dxa"/>
            </w:tcMar>
            <w:vAlign w:val="center"/>
          </w:tcPr>
          <w:p>
            <w:pPr>
              <w:pStyle w:val="16"/>
              <w:spacing w:before="120" w:after="120"/>
              <w:jc w:val="center"/>
              <w:rPr>
                <w:color w:val="000000"/>
                <w:sz w:val="18"/>
                <w:szCs w:val="18"/>
              </w:rPr>
            </w:pPr>
          </w:p>
        </w:tc>
        <w:tc>
          <w:tcPr>
            <w:tcW w:w="1186" w:type="dxa"/>
            <w:tcBorders>
              <w:top w:val="single" w:color="4F81BD" w:sz="8" w:space="0"/>
              <w:left w:val="dotted" w:color="auto" w:sz="6" w:space="0"/>
              <w:bottom w:val="single" w:color="4F81BD" w:sz="8" w:space="0"/>
              <w:right w:val="dotted" w:color="auto" w:sz="6" w:space="0"/>
            </w:tcBorders>
            <w:shd w:val="clear" w:color="auto" w:fill="FFFFFF"/>
            <w:tcMar>
              <w:top w:w="54" w:type="dxa"/>
              <w:left w:w="108" w:type="dxa"/>
              <w:bottom w:w="54" w:type="dxa"/>
              <w:right w:w="108" w:type="dxa"/>
            </w:tcMar>
            <w:vAlign w:val="center"/>
          </w:tcPr>
          <w:p>
            <w:pPr>
              <w:pStyle w:val="16"/>
              <w:spacing w:before="120" w:after="120"/>
              <w:jc w:val="center"/>
              <w:rPr>
                <w:color w:val="000000"/>
                <w:sz w:val="18"/>
                <w:szCs w:val="18"/>
              </w:rPr>
            </w:pPr>
            <w:r>
              <w:rPr>
                <w:color w:val="000000"/>
                <w:sz w:val="18"/>
                <w:szCs w:val="18"/>
              </w:rPr>
              <w:t>[0, -2]</w:t>
            </w:r>
          </w:p>
        </w:tc>
        <w:tc>
          <w:tcPr>
            <w:tcW w:w="1487" w:type="dxa"/>
            <w:tcBorders>
              <w:top w:val="single" w:color="4F81BD" w:sz="8" w:space="0"/>
              <w:left w:val="dotted" w:color="auto" w:sz="6" w:space="0"/>
              <w:bottom w:val="single" w:color="4F81BD" w:sz="8" w:space="0"/>
              <w:right w:val="dotted" w:color="auto" w:sz="6" w:space="0"/>
            </w:tcBorders>
            <w:shd w:val="clear" w:color="auto" w:fill="FFFFFF"/>
            <w:tcMar>
              <w:top w:w="54" w:type="dxa"/>
              <w:left w:w="108" w:type="dxa"/>
              <w:bottom w:w="54" w:type="dxa"/>
              <w:right w:w="108" w:type="dxa"/>
            </w:tcMar>
            <w:vAlign w:val="center"/>
          </w:tcPr>
          <w:p>
            <w:pPr>
              <w:spacing w:before="120" w:after="120"/>
              <w:jc w:val="center"/>
              <w:textAlignment w:val="center"/>
              <w:rPr>
                <w:color w:val="000000"/>
                <w:kern w:val="0"/>
                <w:sz w:val="18"/>
                <w:szCs w:val="18"/>
                <w:lang w:bidi="ar"/>
              </w:rPr>
            </w:pPr>
            <w:r>
              <w:rPr>
                <w:color w:val="000000"/>
                <w:kern w:val="0"/>
                <w:sz w:val="18"/>
                <w:szCs w:val="18"/>
                <w:lang w:bidi="ar"/>
              </w:rPr>
              <w:t>1.60%</w:t>
            </w:r>
          </w:p>
        </w:tc>
        <w:tc>
          <w:tcPr>
            <w:tcW w:w="1820" w:type="dxa"/>
            <w:tcBorders>
              <w:top w:val="single" w:color="4F81BD" w:sz="8" w:space="0"/>
              <w:left w:val="dotted" w:color="auto" w:sz="6" w:space="0"/>
              <w:bottom w:val="single" w:color="4F81BD" w:sz="8" w:space="0"/>
              <w:right w:val="dotted" w:color="auto" w:sz="6" w:space="0"/>
            </w:tcBorders>
            <w:shd w:val="clear" w:color="auto" w:fill="FFFFFF"/>
            <w:tcMar>
              <w:top w:w="54" w:type="dxa"/>
              <w:left w:w="108" w:type="dxa"/>
              <w:bottom w:w="54" w:type="dxa"/>
              <w:right w:w="108" w:type="dxa"/>
            </w:tcMar>
            <w:vAlign w:val="center"/>
          </w:tcPr>
          <w:p>
            <w:pPr>
              <w:spacing w:before="120" w:after="120"/>
              <w:jc w:val="center"/>
              <w:textAlignment w:val="center"/>
              <w:rPr>
                <w:color w:val="000000"/>
                <w:kern w:val="0"/>
                <w:sz w:val="18"/>
                <w:szCs w:val="18"/>
                <w:lang w:bidi="ar"/>
              </w:rPr>
            </w:pPr>
            <w:r>
              <w:rPr>
                <w:color w:val="000000"/>
                <w:kern w:val="0"/>
                <w:sz w:val="18"/>
                <w:szCs w:val="18"/>
                <w:lang w:bidi="ar"/>
              </w:rPr>
              <w:t>1.35%</w:t>
            </w:r>
          </w:p>
        </w:tc>
        <w:tc>
          <w:tcPr>
            <w:tcW w:w="1915" w:type="dxa"/>
            <w:tcBorders>
              <w:top w:val="single" w:color="4F81BD" w:sz="8" w:space="0"/>
              <w:left w:val="dotted" w:color="auto" w:sz="6" w:space="0"/>
              <w:bottom w:val="single" w:color="4F81BD" w:sz="8" w:space="0"/>
              <w:right w:val="dotted" w:color="auto" w:sz="6" w:space="0"/>
            </w:tcBorders>
            <w:shd w:val="clear" w:color="auto" w:fill="FFFFFF"/>
            <w:tcMar>
              <w:top w:w="54" w:type="dxa"/>
              <w:left w:w="108" w:type="dxa"/>
              <w:bottom w:w="54" w:type="dxa"/>
              <w:right w:w="108" w:type="dxa"/>
            </w:tcMar>
            <w:vAlign w:val="center"/>
          </w:tcPr>
          <w:p>
            <w:pPr>
              <w:spacing w:before="120" w:after="120"/>
              <w:jc w:val="center"/>
              <w:textAlignment w:val="center"/>
              <w:rPr>
                <w:color w:val="000000"/>
                <w:kern w:val="0"/>
                <w:sz w:val="18"/>
                <w:szCs w:val="18"/>
                <w:lang w:bidi="ar"/>
              </w:rPr>
            </w:pPr>
            <w:r>
              <w:rPr>
                <w:color w:val="000000"/>
                <w:kern w:val="0"/>
                <w:sz w:val="18"/>
                <w:szCs w:val="18"/>
                <w:lang w:bidi="ar"/>
              </w:rPr>
              <w:t>1.84%</w:t>
            </w:r>
          </w:p>
        </w:tc>
        <w:tc>
          <w:tcPr>
            <w:tcW w:w="1915" w:type="dxa"/>
            <w:tcBorders>
              <w:top w:val="single" w:color="4F81BD" w:sz="8" w:space="0"/>
              <w:left w:val="dotted" w:color="auto" w:sz="6" w:space="0"/>
              <w:bottom w:val="single" w:color="4F81BD" w:sz="8" w:space="0"/>
              <w:right w:val="single" w:color="4F81BD" w:sz="8" w:space="0"/>
            </w:tcBorders>
            <w:shd w:val="clear" w:color="auto" w:fill="FFFFFF"/>
            <w:tcMar>
              <w:top w:w="54" w:type="dxa"/>
              <w:left w:w="108" w:type="dxa"/>
              <w:bottom w:w="54" w:type="dxa"/>
              <w:right w:w="108" w:type="dxa"/>
            </w:tcMar>
            <w:vAlign w:val="center"/>
          </w:tcPr>
          <w:p>
            <w:pPr>
              <w:spacing w:before="120" w:after="120"/>
              <w:jc w:val="center"/>
              <w:textAlignment w:val="center"/>
              <w:rPr>
                <w:color w:val="000000"/>
                <w:kern w:val="0"/>
                <w:sz w:val="18"/>
                <w:szCs w:val="18"/>
                <w:lang w:bidi="ar"/>
              </w:rPr>
            </w:pPr>
            <w:r>
              <w:rPr>
                <w:color w:val="000000"/>
                <w:kern w:val="0"/>
                <w:sz w:val="18"/>
                <w:szCs w:val="18"/>
                <w:lang w:bidi="ar"/>
              </w:rPr>
              <w:t>0.75%</w:t>
            </w:r>
          </w:p>
        </w:tc>
      </w:tr>
      <w:tr>
        <w:tblPrEx>
          <w:tblCellMar>
            <w:top w:w="0" w:type="dxa"/>
            <w:left w:w="0" w:type="dxa"/>
            <w:bottom w:w="0" w:type="dxa"/>
            <w:right w:w="0" w:type="dxa"/>
          </w:tblCellMar>
        </w:tblPrEx>
        <w:trPr>
          <w:trHeight w:val="340" w:hRule="atLeast"/>
          <w:tblCellSpacing w:w="0" w:type="dxa"/>
          <w:jc w:val="center"/>
        </w:trPr>
        <w:tc>
          <w:tcPr>
            <w:tcW w:w="1583" w:type="dxa"/>
            <w:vMerge w:val="continue"/>
            <w:tcBorders>
              <w:top w:val="single" w:color="4F81BD" w:sz="8" w:space="0"/>
              <w:left w:val="single" w:color="4F81BD" w:sz="8" w:space="0"/>
              <w:bottom w:val="single" w:color="4F81BD" w:sz="8" w:space="0"/>
              <w:right w:val="dotted" w:color="auto" w:sz="6" w:space="0"/>
            </w:tcBorders>
            <w:shd w:val="clear" w:color="auto" w:fill="E9EDF4"/>
            <w:tcMar>
              <w:top w:w="54" w:type="dxa"/>
              <w:left w:w="108" w:type="dxa"/>
              <w:bottom w:w="54" w:type="dxa"/>
              <w:right w:w="108" w:type="dxa"/>
            </w:tcMar>
            <w:vAlign w:val="center"/>
          </w:tcPr>
          <w:p>
            <w:pPr>
              <w:pStyle w:val="16"/>
              <w:spacing w:before="120" w:after="120"/>
              <w:jc w:val="center"/>
              <w:rPr>
                <w:color w:val="000000"/>
                <w:sz w:val="18"/>
                <w:szCs w:val="18"/>
              </w:rPr>
            </w:pPr>
          </w:p>
        </w:tc>
        <w:tc>
          <w:tcPr>
            <w:tcW w:w="1186" w:type="dxa"/>
            <w:tcBorders>
              <w:top w:val="single" w:color="4F81BD" w:sz="8" w:space="0"/>
              <w:left w:val="dotted" w:color="auto" w:sz="6" w:space="0"/>
              <w:bottom w:val="single" w:color="4F81BD" w:sz="8" w:space="0"/>
              <w:right w:val="dotted" w:color="auto" w:sz="6" w:space="0"/>
            </w:tcBorders>
            <w:shd w:val="clear" w:color="auto" w:fill="E9EDF4"/>
            <w:tcMar>
              <w:top w:w="54" w:type="dxa"/>
              <w:left w:w="108" w:type="dxa"/>
              <w:bottom w:w="54" w:type="dxa"/>
              <w:right w:w="108" w:type="dxa"/>
            </w:tcMar>
            <w:vAlign w:val="center"/>
          </w:tcPr>
          <w:p>
            <w:pPr>
              <w:pStyle w:val="16"/>
              <w:spacing w:before="120" w:after="120"/>
              <w:jc w:val="center"/>
              <w:rPr>
                <w:color w:val="000000"/>
                <w:sz w:val="18"/>
                <w:szCs w:val="18"/>
              </w:rPr>
            </w:pPr>
            <w:r>
              <w:rPr>
                <w:color w:val="000000"/>
                <w:sz w:val="18"/>
                <w:szCs w:val="18"/>
              </w:rPr>
              <w:t>[0, -3]</w:t>
            </w:r>
          </w:p>
        </w:tc>
        <w:tc>
          <w:tcPr>
            <w:tcW w:w="1487" w:type="dxa"/>
            <w:tcBorders>
              <w:top w:val="single" w:color="4F81BD" w:sz="8" w:space="0"/>
              <w:left w:val="dotted" w:color="auto" w:sz="6" w:space="0"/>
              <w:bottom w:val="single" w:color="4F81BD" w:sz="8" w:space="0"/>
              <w:right w:val="dotted" w:color="auto" w:sz="6" w:space="0"/>
            </w:tcBorders>
            <w:shd w:val="clear" w:color="auto" w:fill="E9EDF4"/>
            <w:tcMar>
              <w:top w:w="54" w:type="dxa"/>
              <w:left w:w="108" w:type="dxa"/>
              <w:bottom w:w="54" w:type="dxa"/>
              <w:right w:w="108" w:type="dxa"/>
            </w:tcMar>
            <w:vAlign w:val="center"/>
          </w:tcPr>
          <w:p>
            <w:pPr>
              <w:spacing w:before="120" w:after="120"/>
              <w:jc w:val="center"/>
              <w:textAlignment w:val="center"/>
              <w:rPr>
                <w:color w:val="000000"/>
                <w:kern w:val="0"/>
                <w:sz w:val="18"/>
                <w:szCs w:val="18"/>
                <w:lang w:bidi="ar"/>
              </w:rPr>
            </w:pPr>
            <w:r>
              <w:rPr>
                <w:color w:val="000000"/>
                <w:kern w:val="0"/>
                <w:sz w:val="18"/>
                <w:szCs w:val="18"/>
                <w:lang w:bidi="ar"/>
              </w:rPr>
              <w:t>3.92%</w:t>
            </w:r>
          </w:p>
        </w:tc>
        <w:tc>
          <w:tcPr>
            <w:tcW w:w="1820" w:type="dxa"/>
            <w:tcBorders>
              <w:top w:val="single" w:color="4F81BD" w:sz="8" w:space="0"/>
              <w:left w:val="dotted" w:color="auto" w:sz="6" w:space="0"/>
              <w:bottom w:val="single" w:color="4F81BD" w:sz="8" w:space="0"/>
              <w:right w:val="dotted" w:color="auto" w:sz="6" w:space="0"/>
            </w:tcBorders>
            <w:shd w:val="clear" w:color="auto" w:fill="E9EDF4"/>
            <w:tcMar>
              <w:top w:w="54" w:type="dxa"/>
              <w:left w:w="108" w:type="dxa"/>
              <w:bottom w:w="54" w:type="dxa"/>
              <w:right w:w="108" w:type="dxa"/>
            </w:tcMar>
            <w:vAlign w:val="center"/>
          </w:tcPr>
          <w:p>
            <w:pPr>
              <w:spacing w:before="120" w:after="120"/>
              <w:jc w:val="center"/>
              <w:textAlignment w:val="center"/>
              <w:rPr>
                <w:color w:val="000000"/>
                <w:kern w:val="0"/>
                <w:sz w:val="18"/>
                <w:szCs w:val="18"/>
                <w:lang w:bidi="ar"/>
              </w:rPr>
            </w:pPr>
            <w:r>
              <w:rPr>
                <w:color w:val="000000"/>
                <w:kern w:val="0"/>
                <w:sz w:val="18"/>
                <w:szCs w:val="18"/>
                <w:lang w:bidi="ar"/>
              </w:rPr>
              <w:t>5.75%</w:t>
            </w:r>
          </w:p>
        </w:tc>
        <w:tc>
          <w:tcPr>
            <w:tcW w:w="1915" w:type="dxa"/>
            <w:tcBorders>
              <w:top w:val="single" w:color="4F81BD" w:sz="8" w:space="0"/>
              <w:left w:val="dotted" w:color="auto" w:sz="6" w:space="0"/>
              <w:bottom w:val="single" w:color="4F81BD" w:sz="8" w:space="0"/>
              <w:right w:val="dotted" w:color="auto" w:sz="6" w:space="0"/>
            </w:tcBorders>
            <w:shd w:val="clear" w:color="auto" w:fill="E9EDF4"/>
            <w:tcMar>
              <w:top w:w="54" w:type="dxa"/>
              <w:left w:w="108" w:type="dxa"/>
              <w:bottom w:w="54" w:type="dxa"/>
              <w:right w:w="108" w:type="dxa"/>
            </w:tcMar>
            <w:vAlign w:val="center"/>
          </w:tcPr>
          <w:p>
            <w:pPr>
              <w:spacing w:before="120" w:after="120"/>
              <w:jc w:val="center"/>
              <w:textAlignment w:val="center"/>
              <w:rPr>
                <w:color w:val="000000"/>
                <w:kern w:val="0"/>
                <w:sz w:val="18"/>
                <w:szCs w:val="18"/>
                <w:lang w:bidi="ar"/>
              </w:rPr>
            </w:pPr>
            <w:r>
              <w:rPr>
                <w:color w:val="000000"/>
                <w:kern w:val="0"/>
                <w:sz w:val="18"/>
                <w:szCs w:val="18"/>
                <w:lang w:bidi="ar"/>
              </w:rPr>
              <w:t>4.06%</w:t>
            </w:r>
          </w:p>
        </w:tc>
        <w:tc>
          <w:tcPr>
            <w:tcW w:w="1915" w:type="dxa"/>
            <w:tcBorders>
              <w:top w:val="single" w:color="4F81BD" w:sz="8" w:space="0"/>
              <w:left w:val="dotted" w:color="auto" w:sz="6" w:space="0"/>
              <w:bottom w:val="single" w:color="4F81BD" w:sz="8" w:space="0"/>
              <w:right w:val="single" w:color="4F81BD" w:sz="8" w:space="0"/>
            </w:tcBorders>
            <w:shd w:val="clear" w:color="auto" w:fill="E9EDF4"/>
            <w:tcMar>
              <w:top w:w="54" w:type="dxa"/>
              <w:left w:w="108" w:type="dxa"/>
              <w:bottom w:w="54" w:type="dxa"/>
              <w:right w:w="108" w:type="dxa"/>
            </w:tcMar>
            <w:vAlign w:val="center"/>
          </w:tcPr>
          <w:p>
            <w:pPr>
              <w:spacing w:before="120" w:after="120"/>
              <w:jc w:val="center"/>
              <w:textAlignment w:val="center"/>
              <w:rPr>
                <w:color w:val="000000"/>
                <w:kern w:val="0"/>
                <w:sz w:val="18"/>
                <w:szCs w:val="18"/>
                <w:lang w:bidi="ar"/>
              </w:rPr>
            </w:pPr>
            <w:r>
              <w:rPr>
                <w:color w:val="000000"/>
                <w:kern w:val="0"/>
                <w:sz w:val="18"/>
                <w:szCs w:val="18"/>
                <w:lang w:bidi="ar"/>
              </w:rPr>
              <w:t>2.51%</w:t>
            </w:r>
          </w:p>
        </w:tc>
      </w:tr>
    </w:tbl>
    <w:p>
      <w:pPr>
        <w:spacing w:before="120" w:after="120"/>
      </w:pPr>
      <w:r>
        <w:rPr>
          <w:rFonts w:hint="eastAsia"/>
        </w:rPr>
        <w:t xml:space="preserve">According to the simulation results, </w:t>
      </w:r>
      <w:r>
        <w:t xml:space="preserve">it can be seen that </w:t>
      </w:r>
      <w:r>
        <w:rPr>
          <w:rFonts w:hint="eastAsia"/>
        </w:rPr>
        <w:t>reporting differential CQI has better performance than reporting multiple CQIs in some cases. The reason is that, if the reported differential CQI value is less than the real CQI value, the</w:t>
      </w:r>
      <w:r>
        <w:t xml:space="preserve"> scheduling will be more conservative so that</w:t>
      </w:r>
      <w:r>
        <w:rPr>
          <w:rFonts w:hint="eastAsia"/>
        </w:rPr>
        <w:t xml:space="preserve"> data transmission is more robust and the retransmission </w:t>
      </w:r>
      <w:r>
        <w:t xml:space="preserve">times </w:t>
      </w:r>
      <w:r>
        <w:rPr>
          <w:rFonts w:hint="eastAsia"/>
        </w:rPr>
        <w:t>will be reduced. According to the simulation results, the value of differential CQI has great impact on system performance, and the value is related to the spatial adaptation pattern</w:t>
      </w:r>
      <w:r>
        <w:t xml:space="preserve"> or the ratio of the number of unmuted TxRUs over the number of original TxRUs</w:t>
      </w:r>
      <w:r>
        <w:rPr>
          <w:rFonts w:hint="eastAsia"/>
        </w:rPr>
        <w:t>.</w:t>
      </w:r>
    </w:p>
    <w:p>
      <w:pPr>
        <w:pStyle w:val="30"/>
        <w:spacing w:before="120" w:after="120"/>
        <w:rPr>
          <w:lang w:val="en-US" w:eastAsia="zh-CN"/>
        </w:rPr>
      </w:pPr>
      <w:bookmarkStart w:id="137" w:name="_Toc30276"/>
      <w:bookmarkStart w:id="138" w:name="_Toc26087"/>
      <w:bookmarkStart w:id="139" w:name="_Toc13521"/>
      <w:r>
        <w:rPr>
          <w:rFonts w:hint="eastAsia"/>
          <w:lang w:val="en-US" w:eastAsia="zh-CN"/>
        </w:rPr>
        <w:t xml:space="preserve">The value of differential CQI has great impact on system performance, and the value is related to the spatial adaptation pattern </w:t>
      </w:r>
      <w:r>
        <w:t>or the ratio of the number of unmuted TxRUs over the number of original TxRUs</w:t>
      </w:r>
      <w:r>
        <w:rPr>
          <w:rFonts w:hint="eastAsia"/>
          <w:lang w:val="en-US" w:eastAsia="zh-CN"/>
        </w:rPr>
        <w:t>.</w:t>
      </w:r>
      <w:bookmarkEnd w:id="137"/>
      <w:bookmarkEnd w:id="138"/>
      <w:bookmarkEnd w:id="139"/>
    </w:p>
    <w:p>
      <w:pPr>
        <w:spacing w:before="120" w:after="120"/>
      </w:pPr>
      <w:r>
        <w:rPr>
          <w:rFonts w:hint="eastAsia"/>
        </w:rPr>
        <w:t xml:space="preserve">However, </w:t>
      </w:r>
      <w:r>
        <w:t>since the mapping of TxRU on antenna ports</w:t>
      </w:r>
      <w:r>
        <w:rPr>
          <w:rFonts w:hint="eastAsia"/>
        </w:rPr>
        <w:t xml:space="preserve"> is implemented by gNB and does not require standardization, 1 bit to indicate differential CQI </w:t>
      </w:r>
      <w:r>
        <w:t>is sufficient</w:t>
      </w:r>
      <w:r>
        <w:rPr>
          <w:rFonts w:hint="eastAsia"/>
        </w:rPr>
        <w:t>.</w:t>
      </w:r>
      <w:r>
        <w:t xml:space="preserve"> The proper selection of X can be handled by gNB.</w:t>
      </w:r>
    </w:p>
    <w:p>
      <w:pPr>
        <w:pStyle w:val="31"/>
        <w:spacing w:before="120" w:after="120"/>
        <w:rPr>
          <w:lang w:val="en-US" w:eastAsia="zh-CN"/>
        </w:rPr>
      </w:pPr>
      <w:bookmarkStart w:id="140" w:name="_Toc16872"/>
      <w:r>
        <w:rPr>
          <w:rFonts w:hint="eastAsia"/>
          <w:lang w:val="en-US" w:eastAsia="zh-CN"/>
        </w:rPr>
        <w:t>The following differential CQI report for wideband CQI can be considered.</w:t>
      </w:r>
      <w:bookmarkEnd w:id="140"/>
    </w:p>
    <w:p>
      <w:pPr>
        <w:pStyle w:val="31"/>
        <w:numPr>
          <w:ilvl w:val="0"/>
          <w:numId w:val="0"/>
        </w:numPr>
        <w:spacing w:before="120" w:after="120"/>
        <w:rPr>
          <w:lang w:val="en-US" w:eastAsia="zh-CN"/>
        </w:rPr>
      </w:pP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bookmarkStart w:id="141" w:name="_Toc26004"/>
      <w:r>
        <w:rPr>
          <w:rFonts w:hint="eastAsia"/>
          <w:lang w:val="en-US" w:eastAsia="zh-CN"/>
        </w:rPr>
        <w:t>differential CQI report</w:t>
      </w:r>
      <w:bookmarkEnd w:id="141"/>
    </w:p>
    <w:tbl>
      <w:tblPr>
        <w:tblStyle w:val="1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92"/>
        <w:gridCol w:w="32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92" w:type="dxa"/>
          </w:tcPr>
          <w:p>
            <w:pPr>
              <w:pStyle w:val="31"/>
              <w:numPr>
                <w:ilvl w:val="0"/>
                <w:numId w:val="0"/>
              </w:numPr>
              <w:spacing w:before="120" w:after="120"/>
              <w:rPr>
                <w:lang w:val="en-US" w:eastAsia="zh-CN"/>
              </w:rPr>
            </w:pPr>
            <w:bookmarkStart w:id="142" w:name="_Toc17893"/>
            <w:r>
              <w:rPr>
                <w:rFonts w:hint="eastAsia"/>
                <w:lang w:val="en-US" w:eastAsia="zh-CN"/>
              </w:rPr>
              <w:t>Differential CQI codepoint</w:t>
            </w:r>
            <w:bookmarkEnd w:id="142"/>
          </w:p>
        </w:tc>
        <w:tc>
          <w:tcPr>
            <w:tcW w:w="3292" w:type="dxa"/>
          </w:tcPr>
          <w:p>
            <w:pPr>
              <w:pStyle w:val="31"/>
              <w:numPr>
                <w:ilvl w:val="0"/>
                <w:numId w:val="0"/>
              </w:numPr>
              <w:spacing w:before="120" w:after="120"/>
              <w:rPr>
                <w:lang w:val="en-US" w:eastAsia="zh-CN"/>
              </w:rPr>
            </w:pPr>
            <w:bookmarkStart w:id="143" w:name="_Toc18215"/>
            <w:r>
              <w:rPr>
                <w:rFonts w:hint="eastAsia"/>
                <w:lang w:val="en-US" w:eastAsia="zh-CN"/>
              </w:rPr>
              <w:t>Offset value</w:t>
            </w:r>
            <w:bookmarkEnd w:id="143"/>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92" w:type="dxa"/>
          </w:tcPr>
          <w:p>
            <w:pPr>
              <w:pStyle w:val="31"/>
              <w:numPr>
                <w:ilvl w:val="0"/>
                <w:numId w:val="0"/>
              </w:numPr>
              <w:spacing w:before="120" w:after="120"/>
              <w:rPr>
                <w:lang w:val="en-US" w:eastAsia="zh-CN"/>
              </w:rPr>
            </w:pPr>
            <w:bookmarkStart w:id="144" w:name="_Toc4144"/>
            <w:r>
              <w:rPr>
                <w:rFonts w:hint="eastAsia"/>
                <w:lang w:val="en-US" w:eastAsia="zh-CN"/>
              </w:rPr>
              <w:t>0</w:t>
            </w:r>
            <w:bookmarkEnd w:id="144"/>
          </w:p>
        </w:tc>
        <w:tc>
          <w:tcPr>
            <w:tcW w:w="3292" w:type="dxa"/>
          </w:tcPr>
          <w:p>
            <w:pPr>
              <w:pStyle w:val="31"/>
              <w:numPr>
                <w:ilvl w:val="0"/>
                <w:numId w:val="0"/>
              </w:numPr>
              <w:spacing w:before="120" w:after="120"/>
              <w:rPr>
                <w:lang w:val="en-US" w:eastAsia="zh-CN"/>
              </w:rPr>
            </w:pPr>
            <w:bookmarkStart w:id="145" w:name="_Toc29788"/>
            <w:r>
              <w:rPr>
                <w:lang w:val="en-US" w:eastAsia="zh-CN"/>
              </w:rPr>
              <w:t>≥0</w:t>
            </w:r>
            <w:bookmarkEnd w:id="145"/>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92" w:type="dxa"/>
          </w:tcPr>
          <w:p>
            <w:pPr>
              <w:pStyle w:val="31"/>
              <w:numPr>
                <w:ilvl w:val="0"/>
                <w:numId w:val="0"/>
              </w:numPr>
              <w:spacing w:before="120" w:after="120"/>
              <w:rPr>
                <w:lang w:val="en-US" w:eastAsia="zh-CN"/>
              </w:rPr>
            </w:pPr>
            <w:bookmarkStart w:id="146" w:name="_Toc22770"/>
            <w:r>
              <w:rPr>
                <w:rFonts w:hint="eastAsia"/>
                <w:lang w:val="en-US" w:eastAsia="zh-CN"/>
              </w:rPr>
              <w:t>1</w:t>
            </w:r>
            <w:bookmarkEnd w:id="146"/>
          </w:p>
        </w:tc>
        <w:tc>
          <w:tcPr>
            <w:tcW w:w="3292" w:type="dxa"/>
          </w:tcPr>
          <w:p>
            <w:pPr>
              <w:pStyle w:val="31"/>
              <w:numPr>
                <w:ilvl w:val="0"/>
                <w:numId w:val="0"/>
              </w:numPr>
              <w:spacing w:before="120" w:after="120"/>
              <w:rPr>
                <w:lang w:val="en-US" w:eastAsia="zh-CN"/>
              </w:rPr>
            </w:pPr>
            <w:bookmarkStart w:id="147" w:name="_Toc19216"/>
            <w:r>
              <w:rPr>
                <w:rFonts w:hint="eastAsia"/>
                <w:lang w:val="en-US" w:eastAsia="zh-CN"/>
              </w:rPr>
              <w:t>&lt;0</w:t>
            </w:r>
            <w:bookmarkEnd w:id="147"/>
          </w:p>
        </w:tc>
      </w:tr>
    </w:tbl>
    <w:p>
      <w:pPr>
        <w:pStyle w:val="31"/>
        <w:numPr>
          <w:ilvl w:val="0"/>
          <w:numId w:val="0"/>
        </w:numPr>
        <w:spacing w:before="120" w:after="120"/>
        <w:rPr>
          <w:lang w:val="en-US" w:eastAsia="zh-CN"/>
        </w:rPr>
      </w:pPr>
      <w:bookmarkStart w:id="148" w:name="_Toc23431"/>
      <w:r>
        <w:rPr>
          <w:rFonts w:hint="eastAsia"/>
          <w:lang w:val="en-US" w:eastAsia="zh-CN"/>
        </w:rPr>
        <w:t xml:space="preserve">Offset value = wideband CQI index - </w:t>
      </w:r>
      <w:r>
        <w:t>reference</w:t>
      </w:r>
      <w:r>
        <w:rPr>
          <w:rFonts w:hint="eastAsia"/>
        </w:rPr>
        <w:t xml:space="preserve"> </w:t>
      </w:r>
      <w:r>
        <w:rPr>
          <w:rFonts w:hint="eastAsia"/>
          <w:lang w:val="en-US" w:eastAsia="zh-CN"/>
        </w:rPr>
        <w:t>wideband CQI index</w:t>
      </w:r>
      <w:r>
        <w:rPr>
          <w:lang w:val="en-US" w:eastAsia="zh-CN"/>
        </w:rPr>
        <w:t>.</w:t>
      </w:r>
      <w:bookmarkEnd w:id="148"/>
    </w:p>
    <w:p>
      <w:pPr>
        <w:spacing w:before="120" w:after="120"/>
      </w:pPr>
    </w:p>
    <w:p>
      <w:pPr>
        <w:pStyle w:val="4"/>
        <w:numPr>
          <w:ilvl w:val="2"/>
          <w:numId w:val="10"/>
        </w:numPr>
        <w:spacing w:after="120"/>
        <w:ind w:right="210"/>
        <w:rPr>
          <w:rFonts w:ascii="Times New Roman" w:hAnsi="Times New Roman"/>
          <w:b/>
          <w:bCs/>
          <w:sz w:val="21"/>
          <w:szCs w:val="21"/>
        </w:rPr>
      </w:pPr>
      <w:r>
        <w:rPr>
          <w:rFonts w:hint="eastAsia" w:ascii="Times New Roman" w:hAnsi="Times New Roman"/>
          <w:b/>
          <w:bCs/>
          <w:sz w:val="21"/>
          <w:szCs w:val="21"/>
        </w:rPr>
        <w:t>Joint compression simulation results</w:t>
      </w:r>
    </w:p>
    <w:p>
      <w:pPr>
        <w:spacing w:before="120" w:after="120"/>
      </w:pPr>
      <w:r>
        <w:rPr>
          <w:rFonts w:hint="eastAsia"/>
        </w:rPr>
        <w:t xml:space="preserve">In this section, </w:t>
      </w:r>
      <w:r>
        <w:t xml:space="preserve">the </w:t>
      </w:r>
      <w:r>
        <w:rPr>
          <w:rFonts w:hint="eastAsia"/>
        </w:rPr>
        <w:t xml:space="preserve">following cases are simulated </w:t>
      </w:r>
      <w:r>
        <w:t xml:space="preserve">for </w:t>
      </w:r>
      <w:r>
        <w:rPr>
          <w:rFonts w:hint="eastAsia"/>
        </w:rPr>
        <w:t>differential RI, common PMI and differential CQI.</w:t>
      </w:r>
      <w:r>
        <w:t xml:space="preserve"> The evaluation results are provided in Table </w:t>
      </w:r>
      <w:r>
        <w:rPr>
          <w:rFonts w:hint="eastAsia"/>
        </w:rPr>
        <w:t>9</w:t>
      </w:r>
      <w:r>
        <w:t>.</w:t>
      </w:r>
    </w:p>
    <w:p>
      <w:pPr>
        <w:spacing w:before="120" w:after="120"/>
      </w:pPr>
      <w:r>
        <w:rPr>
          <w:rFonts w:hint="eastAsia"/>
        </w:rPr>
        <w:t>Case#1: Dynamic gNB antenna</w:t>
      </w:r>
      <w:r>
        <w:t xml:space="preserve"> adaptation</w:t>
      </w:r>
      <w:r>
        <w:rPr>
          <w:rFonts w:hint="eastAsia"/>
        </w:rPr>
        <w:t xml:space="preserve"> </w:t>
      </w:r>
      <w:r>
        <w:t>among</w:t>
      </w:r>
      <w:r>
        <w:rPr>
          <w:rFonts w:hint="eastAsia"/>
        </w:rPr>
        <w:t xml:space="preserve"> {32ports, 24ports,}.</w:t>
      </w:r>
    </w:p>
    <w:p>
      <w:pPr>
        <w:spacing w:before="120" w:after="120"/>
      </w:pPr>
      <w:r>
        <w:rPr>
          <w:rFonts w:hint="eastAsia"/>
        </w:rPr>
        <w:t>Case#2: Dynamic gNB antenna</w:t>
      </w:r>
      <w:r>
        <w:t xml:space="preserve"> adaptation</w:t>
      </w:r>
      <w:r>
        <w:rPr>
          <w:rFonts w:hint="eastAsia"/>
        </w:rPr>
        <w:t xml:space="preserve"> </w:t>
      </w:r>
      <w:r>
        <w:t>among</w:t>
      </w:r>
      <w:r>
        <w:rPr>
          <w:rFonts w:hint="eastAsia"/>
        </w:rPr>
        <w:t xml:space="preserve"> {32ports, 16ports}.</w:t>
      </w:r>
    </w:p>
    <w:p>
      <w:pPr>
        <w:spacing w:before="120" w:after="120"/>
        <w:jc w:val="center"/>
      </w:pPr>
      <w:r>
        <w:rPr>
          <w:rFonts w:hint="eastAsia"/>
        </w:rPr>
        <w:t>Table 9</w:t>
      </w:r>
      <w:r>
        <w:t xml:space="preserve"> </w:t>
      </w:r>
      <w:r>
        <w:rPr>
          <w:rFonts w:hint="eastAsia"/>
        </w:rPr>
        <w:t>simulation results of using 1bit</w:t>
      </w:r>
      <w:r>
        <w:t>-</w:t>
      </w:r>
      <w:r>
        <w:rPr>
          <w:rFonts w:hint="eastAsia"/>
        </w:rPr>
        <w:t>differential RI, common PMI and 1</w:t>
      </w:r>
      <w:r>
        <w:t>-</w:t>
      </w:r>
      <w:r>
        <w:rPr>
          <w:rFonts w:hint="eastAsia"/>
        </w:rPr>
        <w:t>bit differential CQI</w:t>
      </w:r>
    </w:p>
    <w:tbl>
      <w:tblPr>
        <w:tblStyle w:val="18"/>
        <w:tblW w:w="9906" w:type="dxa"/>
        <w:jc w:val="center"/>
        <w:tblLayout w:type="fixed"/>
        <w:tblCellMar>
          <w:top w:w="0" w:type="dxa"/>
          <w:left w:w="0" w:type="dxa"/>
          <w:bottom w:w="0" w:type="dxa"/>
          <w:right w:w="0" w:type="dxa"/>
        </w:tblCellMar>
      </w:tblPr>
      <w:tblGrid>
        <w:gridCol w:w="1583"/>
        <w:gridCol w:w="1186"/>
        <w:gridCol w:w="1487"/>
        <w:gridCol w:w="1820"/>
        <w:gridCol w:w="1915"/>
        <w:gridCol w:w="1915"/>
      </w:tblGrid>
      <w:tr>
        <w:tblPrEx>
          <w:tblCellMar>
            <w:top w:w="0" w:type="dxa"/>
            <w:left w:w="0" w:type="dxa"/>
            <w:bottom w:w="0" w:type="dxa"/>
            <w:right w:w="0" w:type="dxa"/>
          </w:tblCellMar>
        </w:tblPrEx>
        <w:trPr>
          <w:trHeight w:val="440" w:hRule="atLeast"/>
          <w:jc w:val="center"/>
        </w:trPr>
        <w:tc>
          <w:tcPr>
            <w:tcW w:w="1583" w:type="dxa"/>
            <w:tcBorders>
              <w:top w:val="single" w:color="4F81BD" w:sz="8" w:space="0"/>
              <w:left w:val="single" w:color="4F81BD" w:sz="8" w:space="0"/>
              <w:bottom w:val="single" w:color="FFFFFF" w:sz="18" w:space="0"/>
              <w:right w:val="single" w:color="4F81BD" w:sz="8" w:space="0"/>
            </w:tcBorders>
            <w:shd w:val="clear" w:color="auto" w:fill="4F81BD"/>
            <w:tcMar>
              <w:top w:w="54" w:type="dxa"/>
              <w:left w:w="108" w:type="dxa"/>
              <w:bottom w:w="54" w:type="dxa"/>
              <w:right w:w="108" w:type="dxa"/>
            </w:tcMar>
            <w:vAlign w:val="center"/>
          </w:tcPr>
          <w:p>
            <w:pPr>
              <w:pStyle w:val="16"/>
              <w:spacing w:before="120" w:after="120"/>
              <w:jc w:val="center"/>
              <w:rPr>
                <w:b/>
                <w:bCs/>
                <w:color w:val="FFFFFF"/>
                <w:sz w:val="18"/>
                <w:szCs w:val="18"/>
              </w:rPr>
            </w:pPr>
            <w:r>
              <w:rPr>
                <w:b/>
                <w:bCs/>
                <w:color w:val="FFFFFF"/>
                <w:sz w:val="18"/>
                <w:szCs w:val="18"/>
              </w:rPr>
              <w:t>Throughput loss</w:t>
            </w:r>
          </w:p>
        </w:tc>
        <w:tc>
          <w:tcPr>
            <w:tcW w:w="1186" w:type="dxa"/>
            <w:tcBorders>
              <w:top w:val="single" w:color="4F81BD" w:sz="8" w:space="0"/>
              <w:left w:val="single" w:color="4F81BD" w:sz="8" w:space="0"/>
              <w:bottom w:val="single" w:color="FFFFFF" w:sz="18" w:space="0"/>
              <w:right w:val="single" w:color="4F81BD" w:sz="8" w:space="0"/>
            </w:tcBorders>
            <w:shd w:val="clear" w:color="auto" w:fill="4F81BD"/>
            <w:tcMar>
              <w:top w:w="54" w:type="dxa"/>
              <w:left w:w="108" w:type="dxa"/>
              <w:bottom w:w="54" w:type="dxa"/>
              <w:right w:w="108" w:type="dxa"/>
            </w:tcMar>
            <w:vAlign w:val="center"/>
          </w:tcPr>
          <w:p>
            <w:pPr>
              <w:pStyle w:val="16"/>
              <w:spacing w:before="120" w:after="120"/>
              <w:jc w:val="center"/>
              <w:rPr>
                <w:b/>
                <w:bCs/>
                <w:color w:val="FFFFFF"/>
                <w:sz w:val="18"/>
                <w:szCs w:val="18"/>
              </w:rPr>
            </w:pPr>
            <w:r>
              <w:rPr>
                <w:b/>
                <w:bCs/>
                <w:color w:val="FFFFFF"/>
                <w:sz w:val="18"/>
                <w:szCs w:val="18"/>
              </w:rPr>
              <w:t xml:space="preserve">Differential CQI value </w:t>
            </w:r>
          </w:p>
        </w:tc>
        <w:tc>
          <w:tcPr>
            <w:tcW w:w="1487" w:type="dxa"/>
            <w:tcBorders>
              <w:top w:val="single" w:color="4F81BD" w:sz="8" w:space="0"/>
              <w:left w:val="single" w:color="4F81BD" w:sz="8" w:space="0"/>
              <w:bottom w:val="single" w:color="FFFFFF" w:sz="18" w:space="0"/>
              <w:right w:val="single" w:color="4F81BD" w:sz="8" w:space="0"/>
            </w:tcBorders>
            <w:shd w:val="clear" w:color="auto" w:fill="4F81BD"/>
            <w:tcMar>
              <w:top w:w="54" w:type="dxa"/>
              <w:left w:w="108" w:type="dxa"/>
              <w:bottom w:w="54" w:type="dxa"/>
              <w:right w:w="108" w:type="dxa"/>
            </w:tcMar>
            <w:vAlign w:val="center"/>
          </w:tcPr>
          <w:p>
            <w:pPr>
              <w:pStyle w:val="16"/>
              <w:spacing w:before="120" w:after="120"/>
              <w:jc w:val="center"/>
              <w:rPr>
                <w:color w:val="FFFFFF"/>
                <w:sz w:val="18"/>
                <w:szCs w:val="18"/>
              </w:rPr>
            </w:pPr>
            <w:r>
              <w:rPr>
                <w:b/>
                <w:bCs/>
                <w:color w:val="FFFFFF"/>
                <w:sz w:val="18"/>
                <w:szCs w:val="18"/>
              </w:rPr>
              <w:t>Average UE throughput</w:t>
            </w:r>
          </w:p>
        </w:tc>
        <w:tc>
          <w:tcPr>
            <w:tcW w:w="1820" w:type="dxa"/>
            <w:tcBorders>
              <w:top w:val="single" w:color="4F81BD" w:sz="8" w:space="0"/>
              <w:left w:val="single" w:color="4F81BD" w:sz="8" w:space="0"/>
              <w:bottom w:val="single" w:color="FFFFFF" w:sz="18" w:space="0"/>
              <w:right w:val="single" w:color="4F81BD" w:sz="8" w:space="0"/>
            </w:tcBorders>
            <w:shd w:val="clear" w:color="auto" w:fill="4F81BD"/>
            <w:tcMar>
              <w:top w:w="54" w:type="dxa"/>
              <w:left w:w="108" w:type="dxa"/>
              <w:bottom w:w="54" w:type="dxa"/>
              <w:right w:w="108" w:type="dxa"/>
            </w:tcMar>
            <w:vAlign w:val="center"/>
          </w:tcPr>
          <w:p>
            <w:pPr>
              <w:pStyle w:val="16"/>
              <w:spacing w:before="120" w:after="120"/>
              <w:jc w:val="center"/>
              <w:rPr>
                <w:color w:val="FFFFFF"/>
                <w:sz w:val="18"/>
                <w:szCs w:val="18"/>
              </w:rPr>
            </w:pPr>
            <w:r>
              <w:rPr>
                <w:b/>
                <w:bCs/>
                <w:color w:val="FFFFFF"/>
                <w:sz w:val="18"/>
                <w:szCs w:val="18"/>
              </w:rPr>
              <w:t>5% UE throughput</w:t>
            </w:r>
          </w:p>
        </w:tc>
        <w:tc>
          <w:tcPr>
            <w:tcW w:w="1915" w:type="dxa"/>
            <w:tcBorders>
              <w:top w:val="single" w:color="4F81BD" w:sz="8" w:space="0"/>
              <w:left w:val="single" w:color="4F81BD" w:sz="8" w:space="0"/>
              <w:bottom w:val="single" w:color="FFFFFF" w:sz="18" w:space="0"/>
              <w:right w:val="single" w:color="4F81BD" w:sz="8" w:space="0"/>
            </w:tcBorders>
            <w:shd w:val="clear" w:color="auto" w:fill="4F81BD"/>
            <w:tcMar>
              <w:top w:w="54" w:type="dxa"/>
              <w:left w:w="108" w:type="dxa"/>
              <w:bottom w:w="54" w:type="dxa"/>
              <w:right w:w="108" w:type="dxa"/>
            </w:tcMar>
            <w:vAlign w:val="center"/>
          </w:tcPr>
          <w:p>
            <w:pPr>
              <w:pStyle w:val="16"/>
              <w:spacing w:before="120" w:after="120"/>
              <w:jc w:val="center"/>
              <w:rPr>
                <w:color w:val="FFFFFF"/>
                <w:sz w:val="18"/>
                <w:szCs w:val="18"/>
              </w:rPr>
            </w:pPr>
            <w:r>
              <w:rPr>
                <w:b/>
                <w:bCs/>
                <w:color w:val="FFFFFF"/>
                <w:sz w:val="18"/>
                <w:szCs w:val="18"/>
              </w:rPr>
              <w:t>50% UE throughput</w:t>
            </w:r>
          </w:p>
        </w:tc>
        <w:tc>
          <w:tcPr>
            <w:tcW w:w="1915" w:type="dxa"/>
            <w:tcBorders>
              <w:top w:val="single" w:color="4F81BD" w:sz="8" w:space="0"/>
              <w:left w:val="single" w:color="4F81BD" w:sz="8" w:space="0"/>
              <w:bottom w:val="single" w:color="FFFFFF" w:sz="18" w:space="0"/>
              <w:right w:val="single" w:color="4F81BD" w:sz="8" w:space="0"/>
            </w:tcBorders>
            <w:shd w:val="clear" w:color="auto" w:fill="4F81BD"/>
            <w:tcMar>
              <w:top w:w="54" w:type="dxa"/>
              <w:left w:w="108" w:type="dxa"/>
              <w:bottom w:w="54" w:type="dxa"/>
              <w:right w:w="108" w:type="dxa"/>
            </w:tcMar>
            <w:vAlign w:val="center"/>
          </w:tcPr>
          <w:p>
            <w:pPr>
              <w:pStyle w:val="16"/>
              <w:spacing w:before="120" w:after="120"/>
              <w:jc w:val="center"/>
              <w:rPr>
                <w:color w:val="FFFFFF"/>
                <w:sz w:val="18"/>
                <w:szCs w:val="18"/>
              </w:rPr>
            </w:pPr>
            <w:r>
              <w:rPr>
                <w:b/>
                <w:bCs/>
                <w:color w:val="FFFFFF"/>
                <w:sz w:val="18"/>
                <w:szCs w:val="18"/>
              </w:rPr>
              <w:t>95% UE throughput</w:t>
            </w:r>
          </w:p>
        </w:tc>
      </w:tr>
      <w:tr>
        <w:tblPrEx>
          <w:tblCellMar>
            <w:top w:w="0" w:type="dxa"/>
            <w:left w:w="0" w:type="dxa"/>
            <w:bottom w:w="0" w:type="dxa"/>
            <w:right w:w="0" w:type="dxa"/>
          </w:tblCellMar>
        </w:tblPrEx>
        <w:trPr>
          <w:trHeight w:val="340" w:hRule="atLeast"/>
          <w:jc w:val="center"/>
        </w:trPr>
        <w:tc>
          <w:tcPr>
            <w:tcW w:w="1583" w:type="dxa"/>
            <w:vMerge w:val="restart"/>
            <w:tcBorders>
              <w:top w:val="single" w:color="000000" w:sz="8" w:space="0"/>
              <w:left w:val="single" w:color="000000" w:sz="8" w:space="0"/>
              <w:bottom w:val="single" w:color="000000" w:sz="8" w:space="0"/>
              <w:right w:val="single" w:color="000000" w:sz="8" w:space="0"/>
            </w:tcBorders>
            <w:shd w:val="clear" w:color="auto" w:fill="FFFFFF"/>
            <w:tcMar>
              <w:top w:w="54" w:type="dxa"/>
              <w:left w:w="108" w:type="dxa"/>
              <w:bottom w:w="54" w:type="dxa"/>
              <w:right w:w="108" w:type="dxa"/>
            </w:tcMar>
            <w:vAlign w:val="center"/>
          </w:tcPr>
          <w:p>
            <w:pPr>
              <w:pStyle w:val="16"/>
              <w:spacing w:before="120" w:after="120"/>
              <w:jc w:val="center"/>
              <w:rPr>
                <w:color w:val="000000"/>
                <w:sz w:val="18"/>
                <w:szCs w:val="18"/>
              </w:rPr>
            </w:pPr>
            <w:r>
              <w:rPr>
                <w:color w:val="000000"/>
                <w:sz w:val="18"/>
                <w:szCs w:val="18"/>
              </w:rPr>
              <w:t>Case#1</w:t>
            </w:r>
          </w:p>
        </w:tc>
        <w:tc>
          <w:tcPr>
            <w:tcW w:w="1186" w:type="dxa"/>
            <w:tcBorders>
              <w:top w:val="single" w:color="FFFFFF" w:sz="6" w:space="0"/>
              <w:left w:val="single" w:color="4F81BD" w:sz="8" w:space="0"/>
              <w:bottom w:val="single" w:color="4F81BD" w:sz="8" w:space="0"/>
              <w:right w:val="single" w:color="4F81BD" w:sz="8" w:space="0"/>
            </w:tcBorders>
            <w:shd w:val="clear" w:color="auto" w:fill="B8CCE4"/>
            <w:tcMar>
              <w:top w:w="54" w:type="dxa"/>
              <w:left w:w="108" w:type="dxa"/>
              <w:bottom w:w="54" w:type="dxa"/>
              <w:right w:w="108" w:type="dxa"/>
            </w:tcMar>
            <w:vAlign w:val="center"/>
          </w:tcPr>
          <w:p>
            <w:pPr>
              <w:pStyle w:val="16"/>
              <w:spacing w:before="120" w:after="120"/>
              <w:jc w:val="center"/>
              <w:rPr>
                <w:color w:val="000000"/>
                <w:sz w:val="18"/>
                <w:szCs w:val="18"/>
              </w:rPr>
            </w:pPr>
            <w:r>
              <w:rPr>
                <w:color w:val="000000"/>
                <w:sz w:val="18"/>
                <w:szCs w:val="18"/>
              </w:rPr>
              <w:t>[0, -1]</w:t>
            </w:r>
          </w:p>
        </w:tc>
        <w:tc>
          <w:tcPr>
            <w:tcW w:w="1487" w:type="dxa"/>
            <w:tcBorders>
              <w:top w:val="single" w:color="FFFFFF" w:sz="6" w:space="0"/>
              <w:left w:val="single" w:color="4F81BD" w:sz="8" w:space="0"/>
              <w:bottom w:val="single" w:color="4F81BD" w:sz="8" w:space="0"/>
              <w:right w:val="single" w:color="4F81BD" w:sz="8" w:space="0"/>
            </w:tcBorders>
            <w:shd w:val="clear" w:color="auto" w:fill="B8CCE4"/>
            <w:tcMar>
              <w:top w:w="54" w:type="dxa"/>
              <w:left w:w="108" w:type="dxa"/>
              <w:bottom w:w="54" w:type="dxa"/>
              <w:right w:w="108" w:type="dxa"/>
            </w:tcMar>
            <w:vAlign w:val="center"/>
          </w:tcPr>
          <w:p>
            <w:pPr>
              <w:spacing w:before="120" w:after="120"/>
              <w:jc w:val="center"/>
              <w:textAlignment w:val="center"/>
              <w:rPr>
                <w:color w:val="000000"/>
                <w:kern w:val="0"/>
                <w:sz w:val="18"/>
                <w:szCs w:val="18"/>
              </w:rPr>
            </w:pPr>
            <w:r>
              <w:rPr>
                <w:color w:val="000000"/>
                <w:kern w:val="0"/>
                <w:sz w:val="18"/>
                <w:szCs w:val="18"/>
              </w:rPr>
              <w:t>-1.42%</w:t>
            </w:r>
          </w:p>
        </w:tc>
        <w:tc>
          <w:tcPr>
            <w:tcW w:w="1820" w:type="dxa"/>
            <w:tcBorders>
              <w:top w:val="single" w:color="FFFFFF" w:sz="6" w:space="0"/>
              <w:left w:val="single" w:color="4F81BD" w:sz="8" w:space="0"/>
              <w:bottom w:val="single" w:color="4F81BD" w:sz="8" w:space="0"/>
              <w:right w:val="single" w:color="4F81BD" w:sz="8" w:space="0"/>
            </w:tcBorders>
            <w:shd w:val="clear" w:color="auto" w:fill="B8CCE4"/>
            <w:tcMar>
              <w:top w:w="54" w:type="dxa"/>
              <w:left w:w="108" w:type="dxa"/>
              <w:bottom w:w="54" w:type="dxa"/>
              <w:right w:w="108" w:type="dxa"/>
            </w:tcMar>
            <w:vAlign w:val="center"/>
          </w:tcPr>
          <w:p>
            <w:pPr>
              <w:spacing w:before="120" w:after="120"/>
              <w:jc w:val="center"/>
              <w:textAlignment w:val="center"/>
              <w:rPr>
                <w:color w:val="000000"/>
                <w:kern w:val="0"/>
                <w:sz w:val="18"/>
                <w:szCs w:val="18"/>
              </w:rPr>
            </w:pPr>
            <w:r>
              <w:rPr>
                <w:color w:val="000000"/>
                <w:kern w:val="0"/>
                <w:sz w:val="18"/>
                <w:szCs w:val="18"/>
              </w:rPr>
              <w:t>-2.48%</w:t>
            </w:r>
          </w:p>
        </w:tc>
        <w:tc>
          <w:tcPr>
            <w:tcW w:w="1915" w:type="dxa"/>
            <w:tcBorders>
              <w:top w:val="single" w:color="FFFFFF" w:sz="6" w:space="0"/>
              <w:left w:val="single" w:color="4F81BD" w:sz="8" w:space="0"/>
              <w:bottom w:val="single" w:color="4F81BD" w:sz="8" w:space="0"/>
              <w:right w:val="single" w:color="4F81BD" w:sz="8" w:space="0"/>
            </w:tcBorders>
            <w:shd w:val="clear" w:color="auto" w:fill="B8CCE4"/>
            <w:tcMar>
              <w:top w:w="54" w:type="dxa"/>
              <w:left w:w="108" w:type="dxa"/>
              <w:bottom w:w="54" w:type="dxa"/>
              <w:right w:w="108" w:type="dxa"/>
            </w:tcMar>
            <w:vAlign w:val="center"/>
          </w:tcPr>
          <w:p>
            <w:pPr>
              <w:spacing w:before="120" w:after="120"/>
              <w:jc w:val="center"/>
              <w:textAlignment w:val="center"/>
              <w:rPr>
                <w:color w:val="000000"/>
                <w:kern w:val="0"/>
                <w:sz w:val="18"/>
                <w:szCs w:val="18"/>
              </w:rPr>
            </w:pPr>
            <w:r>
              <w:rPr>
                <w:color w:val="000000"/>
                <w:kern w:val="0"/>
                <w:sz w:val="18"/>
                <w:szCs w:val="18"/>
              </w:rPr>
              <w:t>-1.70%</w:t>
            </w:r>
          </w:p>
        </w:tc>
        <w:tc>
          <w:tcPr>
            <w:tcW w:w="1915" w:type="dxa"/>
            <w:tcBorders>
              <w:top w:val="single" w:color="FFFFFF" w:sz="6" w:space="0"/>
              <w:left w:val="single" w:color="4F81BD" w:sz="8" w:space="0"/>
              <w:bottom w:val="single" w:color="4F81BD" w:sz="8" w:space="0"/>
              <w:right w:val="single" w:color="4F81BD" w:sz="8" w:space="0"/>
            </w:tcBorders>
            <w:shd w:val="clear" w:color="auto" w:fill="B8CCE4"/>
            <w:tcMar>
              <w:top w:w="54" w:type="dxa"/>
              <w:left w:w="108" w:type="dxa"/>
              <w:bottom w:w="54" w:type="dxa"/>
              <w:right w:w="108" w:type="dxa"/>
            </w:tcMar>
            <w:vAlign w:val="center"/>
          </w:tcPr>
          <w:p>
            <w:pPr>
              <w:spacing w:before="120" w:after="120"/>
              <w:jc w:val="center"/>
              <w:textAlignment w:val="center"/>
              <w:rPr>
                <w:color w:val="000000"/>
                <w:kern w:val="0"/>
                <w:sz w:val="18"/>
                <w:szCs w:val="18"/>
              </w:rPr>
            </w:pPr>
            <w:r>
              <w:rPr>
                <w:color w:val="000000"/>
                <w:kern w:val="0"/>
                <w:sz w:val="18"/>
                <w:szCs w:val="18"/>
              </w:rPr>
              <w:t>-1.82%</w:t>
            </w:r>
          </w:p>
        </w:tc>
      </w:tr>
      <w:tr>
        <w:tblPrEx>
          <w:tblCellMar>
            <w:top w:w="0" w:type="dxa"/>
            <w:left w:w="0" w:type="dxa"/>
            <w:bottom w:w="0" w:type="dxa"/>
            <w:right w:w="0" w:type="dxa"/>
          </w:tblCellMar>
        </w:tblPrEx>
        <w:trPr>
          <w:trHeight w:val="340" w:hRule="atLeast"/>
          <w:jc w:val="center"/>
        </w:trPr>
        <w:tc>
          <w:tcPr>
            <w:tcW w:w="158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spacing w:beforeLines="0" w:afterLines="0"/>
              <w:jc w:val="left"/>
              <w:rPr>
                <w:color w:val="000000"/>
                <w:kern w:val="0"/>
                <w:sz w:val="18"/>
                <w:szCs w:val="18"/>
              </w:rPr>
            </w:pPr>
          </w:p>
        </w:tc>
        <w:tc>
          <w:tcPr>
            <w:tcW w:w="1186" w:type="dxa"/>
            <w:tcBorders>
              <w:top w:val="single" w:color="4F81BD" w:sz="8" w:space="0"/>
              <w:left w:val="single" w:color="4F81BD" w:sz="8" w:space="0"/>
              <w:bottom w:val="single" w:color="4F81BD" w:sz="8" w:space="0"/>
              <w:right w:val="single" w:color="4F81BD" w:sz="8" w:space="0"/>
            </w:tcBorders>
            <w:shd w:val="clear" w:color="auto" w:fill="FFFFFF"/>
            <w:tcMar>
              <w:top w:w="54" w:type="dxa"/>
              <w:left w:w="108" w:type="dxa"/>
              <w:bottom w:w="54" w:type="dxa"/>
              <w:right w:w="108" w:type="dxa"/>
            </w:tcMar>
            <w:vAlign w:val="center"/>
          </w:tcPr>
          <w:p>
            <w:pPr>
              <w:pStyle w:val="16"/>
              <w:spacing w:before="120" w:after="120"/>
              <w:jc w:val="center"/>
              <w:rPr>
                <w:color w:val="000000"/>
                <w:sz w:val="18"/>
                <w:szCs w:val="18"/>
              </w:rPr>
            </w:pPr>
            <w:r>
              <w:rPr>
                <w:color w:val="000000"/>
                <w:sz w:val="18"/>
                <w:szCs w:val="18"/>
              </w:rPr>
              <w:t>[0, -2]</w:t>
            </w:r>
          </w:p>
        </w:tc>
        <w:tc>
          <w:tcPr>
            <w:tcW w:w="1487" w:type="dxa"/>
            <w:tcBorders>
              <w:top w:val="single" w:color="4F81BD" w:sz="8" w:space="0"/>
              <w:left w:val="single" w:color="4F81BD" w:sz="8" w:space="0"/>
              <w:bottom w:val="single" w:color="4F81BD" w:sz="8" w:space="0"/>
              <w:right w:val="single" w:color="4F81BD" w:sz="8" w:space="0"/>
            </w:tcBorders>
            <w:shd w:val="clear" w:color="auto" w:fill="FFFFFF"/>
            <w:tcMar>
              <w:top w:w="54" w:type="dxa"/>
              <w:left w:w="108" w:type="dxa"/>
              <w:bottom w:w="54" w:type="dxa"/>
              <w:right w:w="108" w:type="dxa"/>
            </w:tcMar>
            <w:vAlign w:val="center"/>
          </w:tcPr>
          <w:p>
            <w:pPr>
              <w:spacing w:before="120" w:after="120"/>
              <w:jc w:val="center"/>
              <w:textAlignment w:val="center"/>
              <w:rPr>
                <w:color w:val="000000"/>
                <w:kern w:val="0"/>
                <w:sz w:val="18"/>
                <w:szCs w:val="18"/>
              </w:rPr>
            </w:pPr>
            <w:r>
              <w:rPr>
                <w:color w:val="000000"/>
                <w:kern w:val="0"/>
                <w:sz w:val="18"/>
                <w:szCs w:val="18"/>
              </w:rPr>
              <w:t>1.62%</w:t>
            </w:r>
          </w:p>
        </w:tc>
        <w:tc>
          <w:tcPr>
            <w:tcW w:w="1820" w:type="dxa"/>
            <w:tcBorders>
              <w:top w:val="single" w:color="4F81BD" w:sz="8" w:space="0"/>
              <w:left w:val="single" w:color="4F81BD" w:sz="8" w:space="0"/>
              <w:bottom w:val="single" w:color="4F81BD" w:sz="8" w:space="0"/>
              <w:right w:val="single" w:color="4F81BD" w:sz="8" w:space="0"/>
            </w:tcBorders>
            <w:shd w:val="clear" w:color="auto" w:fill="FFFFFF"/>
            <w:tcMar>
              <w:top w:w="54" w:type="dxa"/>
              <w:left w:w="108" w:type="dxa"/>
              <w:bottom w:w="54" w:type="dxa"/>
              <w:right w:w="108" w:type="dxa"/>
            </w:tcMar>
            <w:vAlign w:val="center"/>
          </w:tcPr>
          <w:p>
            <w:pPr>
              <w:spacing w:before="120" w:after="120"/>
              <w:jc w:val="center"/>
              <w:textAlignment w:val="center"/>
              <w:rPr>
                <w:color w:val="000000"/>
                <w:kern w:val="0"/>
                <w:sz w:val="18"/>
                <w:szCs w:val="18"/>
              </w:rPr>
            </w:pPr>
            <w:r>
              <w:rPr>
                <w:color w:val="000000"/>
                <w:kern w:val="0"/>
                <w:sz w:val="18"/>
                <w:szCs w:val="18"/>
              </w:rPr>
              <w:t>2.00%</w:t>
            </w:r>
          </w:p>
        </w:tc>
        <w:tc>
          <w:tcPr>
            <w:tcW w:w="1915" w:type="dxa"/>
            <w:tcBorders>
              <w:top w:val="single" w:color="4F81BD" w:sz="8" w:space="0"/>
              <w:left w:val="single" w:color="4F81BD" w:sz="8" w:space="0"/>
              <w:bottom w:val="single" w:color="4F81BD" w:sz="8" w:space="0"/>
              <w:right w:val="single" w:color="4F81BD" w:sz="8" w:space="0"/>
            </w:tcBorders>
            <w:shd w:val="clear" w:color="auto" w:fill="FFFFFF"/>
            <w:tcMar>
              <w:top w:w="54" w:type="dxa"/>
              <w:left w:w="108" w:type="dxa"/>
              <w:bottom w:w="54" w:type="dxa"/>
              <w:right w:w="108" w:type="dxa"/>
            </w:tcMar>
            <w:vAlign w:val="center"/>
          </w:tcPr>
          <w:p>
            <w:pPr>
              <w:spacing w:before="120" w:after="120"/>
              <w:jc w:val="center"/>
              <w:textAlignment w:val="center"/>
              <w:rPr>
                <w:color w:val="000000"/>
                <w:kern w:val="0"/>
                <w:sz w:val="18"/>
                <w:szCs w:val="18"/>
              </w:rPr>
            </w:pPr>
            <w:r>
              <w:rPr>
                <w:color w:val="000000"/>
                <w:kern w:val="0"/>
                <w:sz w:val="18"/>
                <w:szCs w:val="18"/>
              </w:rPr>
              <w:t>1.79%</w:t>
            </w:r>
          </w:p>
        </w:tc>
        <w:tc>
          <w:tcPr>
            <w:tcW w:w="1915" w:type="dxa"/>
            <w:tcBorders>
              <w:top w:val="single" w:color="4F81BD" w:sz="8" w:space="0"/>
              <w:left w:val="single" w:color="4F81BD" w:sz="8" w:space="0"/>
              <w:bottom w:val="single" w:color="4F81BD" w:sz="8" w:space="0"/>
              <w:right w:val="single" w:color="4F81BD" w:sz="8" w:space="0"/>
            </w:tcBorders>
            <w:shd w:val="clear" w:color="auto" w:fill="FFFFFF"/>
            <w:tcMar>
              <w:top w:w="54" w:type="dxa"/>
              <w:left w:w="108" w:type="dxa"/>
              <w:bottom w:w="54" w:type="dxa"/>
              <w:right w:w="108" w:type="dxa"/>
            </w:tcMar>
            <w:vAlign w:val="center"/>
          </w:tcPr>
          <w:p>
            <w:pPr>
              <w:spacing w:before="120" w:after="120"/>
              <w:jc w:val="center"/>
              <w:textAlignment w:val="center"/>
              <w:rPr>
                <w:color w:val="000000"/>
                <w:kern w:val="0"/>
                <w:sz w:val="18"/>
                <w:szCs w:val="18"/>
              </w:rPr>
            </w:pPr>
            <w:r>
              <w:rPr>
                <w:color w:val="000000"/>
                <w:kern w:val="0"/>
                <w:sz w:val="18"/>
                <w:szCs w:val="18"/>
              </w:rPr>
              <w:t>0.78%</w:t>
            </w:r>
          </w:p>
        </w:tc>
      </w:tr>
      <w:tr>
        <w:tblPrEx>
          <w:tblCellMar>
            <w:top w:w="0" w:type="dxa"/>
            <w:left w:w="0" w:type="dxa"/>
            <w:bottom w:w="0" w:type="dxa"/>
            <w:right w:w="0" w:type="dxa"/>
          </w:tblCellMar>
        </w:tblPrEx>
        <w:trPr>
          <w:trHeight w:val="340" w:hRule="atLeast"/>
          <w:jc w:val="center"/>
        </w:trPr>
        <w:tc>
          <w:tcPr>
            <w:tcW w:w="1583" w:type="dxa"/>
            <w:vMerge w:val="restart"/>
            <w:tcBorders>
              <w:top w:val="single" w:color="000000" w:sz="8" w:space="0"/>
              <w:left w:val="single" w:color="000000" w:sz="8" w:space="0"/>
              <w:bottom w:val="single" w:color="000000" w:sz="8" w:space="0"/>
              <w:right w:val="single" w:color="000000" w:sz="8" w:space="0"/>
            </w:tcBorders>
            <w:shd w:val="clear" w:color="auto" w:fill="FFFFFF"/>
            <w:tcMar>
              <w:top w:w="54" w:type="dxa"/>
              <w:left w:w="108" w:type="dxa"/>
              <w:bottom w:w="54" w:type="dxa"/>
              <w:right w:w="108" w:type="dxa"/>
            </w:tcMar>
            <w:vAlign w:val="center"/>
          </w:tcPr>
          <w:p>
            <w:pPr>
              <w:pStyle w:val="16"/>
              <w:spacing w:before="120" w:after="120"/>
              <w:jc w:val="center"/>
              <w:rPr>
                <w:color w:val="000000"/>
                <w:sz w:val="18"/>
                <w:szCs w:val="18"/>
              </w:rPr>
            </w:pPr>
            <w:r>
              <w:rPr>
                <w:color w:val="000000"/>
                <w:sz w:val="18"/>
                <w:szCs w:val="18"/>
              </w:rPr>
              <w:t>Case#2</w:t>
            </w:r>
          </w:p>
        </w:tc>
        <w:tc>
          <w:tcPr>
            <w:tcW w:w="1186" w:type="dxa"/>
            <w:tcBorders>
              <w:top w:val="single" w:color="4F81BD" w:sz="8" w:space="0"/>
              <w:left w:val="single" w:color="4F81BD" w:sz="8" w:space="0"/>
              <w:bottom w:val="single" w:color="4F81BD" w:sz="8" w:space="0"/>
              <w:right w:val="single" w:color="4F81BD" w:sz="8" w:space="0"/>
            </w:tcBorders>
            <w:shd w:val="clear" w:color="auto" w:fill="B8CCE4"/>
            <w:tcMar>
              <w:top w:w="54" w:type="dxa"/>
              <w:left w:w="108" w:type="dxa"/>
              <w:bottom w:w="54" w:type="dxa"/>
              <w:right w:w="108" w:type="dxa"/>
            </w:tcMar>
            <w:vAlign w:val="center"/>
          </w:tcPr>
          <w:p>
            <w:pPr>
              <w:pStyle w:val="16"/>
              <w:spacing w:before="120" w:after="120"/>
              <w:jc w:val="center"/>
              <w:rPr>
                <w:color w:val="000000"/>
                <w:sz w:val="18"/>
                <w:szCs w:val="18"/>
              </w:rPr>
            </w:pPr>
            <w:r>
              <w:rPr>
                <w:color w:val="000000"/>
                <w:sz w:val="18"/>
                <w:szCs w:val="18"/>
              </w:rPr>
              <w:t>[0, -1]</w:t>
            </w:r>
          </w:p>
        </w:tc>
        <w:tc>
          <w:tcPr>
            <w:tcW w:w="1487" w:type="dxa"/>
            <w:tcBorders>
              <w:top w:val="single" w:color="4F81BD" w:sz="8" w:space="0"/>
              <w:left w:val="single" w:color="4F81BD" w:sz="8" w:space="0"/>
              <w:bottom w:val="single" w:color="4F81BD" w:sz="8" w:space="0"/>
              <w:right w:val="single" w:color="4F81BD" w:sz="8" w:space="0"/>
            </w:tcBorders>
            <w:shd w:val="clear" w:color="auto" w:fill="B8CCE4"/>
            <w:tcMar>
              <w:top w:w="54" w:type="dxa"/>
              <w:left w:w="108" w:type="dxa"/>
              <w:bottom w:w="54" w:type="dxa"/>
              <w:right w:w="108" w:type="dxa"/>
            </w:tcMar>
            <w:vAlign w:val="center"/>
          </w:tcPr>
          <w:p>
            <w:pPr>
              <w:spacing w:before="120" w:after="120"/>
              <w:jc w:val="center"/>
              <w:textAlignment w:val="center"/>
              <w:rPr>
                <w:color w:val="000000"/>
                <w:kern w:val="0"/>
                <w:sz w:val="18"/>
                <w:szCs w:val="18"/>
              </w:rPr>
            </w:pPr>
            <w:r>
              <w:rPr>
                <w:color w:val="000000"/>
                <w:kern w:val="0"/>
                <w:sz w:val="18"/>
                <w:szCs w:val="18"/>
              </w:rPr>
              <w:t>-5.56%</w:t>
            </w:r>
          </w:p>
        </w:tc>
        <w:tc>
          <w:tcPr>
            <w:tcW w:w="1820" w:type="dxa"/>
            <w:tcBorders>
              <w:top w:val="single" w:color="4F81BD" w:sz="8" w:space="0"/>
              <w:left w:val="single" w:color="4F81BD" w:sz="8" w:space="0"/>
              <w:bottom w:val="single" w:color="4F81BD" w:sz="8" w:space="0"/>
              <w:right w:val="single" w:color="4F81BD" w:sz="8" w:space="0"/>
            </w:tcBorders>
            <w:shd w:val="clear" w:color="auto" w:fill="B8CCE4"/>
            <w:tcMar>
              <w:top w:w="54" w:type="dxa"/>
              <w:left w:w="108" w:type="dxa"/>
              <w:bottom w:w="54" w:type="dxa"/>
              <w:right w:w="108" w:type="dxa"/>
            </w:tcMar>
            <w:vAlign w:val="center"/>
          </w:tcPr>
          <w:p>
            <w:pPr>
              <w:spacing w:before="120" w:after="120"/>
              <w:jc w:val="center"/>
              <w:textAlignment w:val="center"/>
              <w:rPr>
                <w:color w:val="000000"/>
                <w:kern w:val="0"/>
                <w:sz w:val="18"/>
                <w:szCs w:val="18"/>
              </w:rPr>
            </w:pPr>
            <w:r>
              <w:rPr>
                <w:color w:val="000000"/>
                <w:kern w:val="0"/>
                <w:sz w:val="18"/>
                <w:szCs w:val="18"/>
              </w:rPr>
              <w:t>-6.02%</w:t>
            </w:r>
          </w:p>
        </w:tc>
        <w:tc>
          <w:tcPr>
            <w:tcW w:w="1915" w:type="dxa"/>
            <w:tcBorders>
              <w:top w:val="single" w:color="4F81BD" w:sz="8" w:space="0"/>
              <w:left w:val="single" w:color="4F81BD" w:sz="8" w:space="0"/>
              <w:bottom w:val="single" w:color="4F81BD" w:sz="8" w:space="0"/>
              <w:right w:val="single" w:color="4F81BD" w:sz="8" w:space="0"/>
            </w:tcBorders>
            <w:shd w:val="clear" w:color="auto" w:fill="B8CCE4"/>
            <w:tcMar>
              <w:top w:w="54" w:type="dxa"/>
              <w:left w:w="108" w:type="dxa"/>
              <w:bottom w:w="54" w:type="dxa"/>
              <w:right w:w="108" w:type="dxa"/>
            </w:tcMar>
            <w:vAlign w:val="center"/>
          </w:tcPr>
          <w:p>
            <w:pPr>
              <w:spacing w:before="120" w:after="120"/>
              <w:jc w:val="center"/>
              <w:textAlignment w:val="center"/>
              <w:rPr>
                <w:color w:val="000000"/>
                <w:kern w:val="0"/>
                <w:sz w:val="18"/>
                <w:szCs w:val="18"/>
              </w:rPr>
            </w:pPr>
            <w:r>
              <w:rPr>
                <w:color w:val="000000"/>
                <w:kern w:val="0"/>
                <w:sz w:val="18"/>
                <w:szCs w:val="18"/>
              </w:rPr>
              <w:t>-5.88%</w:t>
            </w:r>
          </w:p>
        </w:tc>
        <w:tc>
          <w:tcPr>
            <w:tcW w:w="1915" w:type="dxa"/>
            <w:tcBorders>
              <w:top w:val="single" w:color="4F81BD" w:sz="8" w:space="0"/>
              <w:left w:val="single" w:color="4F81BD" w:sz="8" w:space="0"/>
              <w:bottom w:val="single" w:color="4F81BD" w:sz="8" w:space="0"/>
              <w:right w:val="single" w:color="4F81BD" w:sz="8" w:space="0"/>
            </w:tcBorders>
            <w:shd w:val="clear" w:color="auto" w:fill="B8CCE4"/>
            <w:tcMar>
              <w:top w:w="54" w:type="dxa"/>
              <w:left w:w="108" w:type="dxa"/>
              <w:bottom w:w="54" w:type="dxa"/>
              <w:right w:w="108" w:type="dxa"/>
            </w:tcMar>
            <w:vAlign w:val="center"/>
          </w:tcPr>
          <w:p>
            <w:pPr>
              <w:spacing w:before="120" w:after="120"/>
              <w:jc w:val="center"/>
              <w:textAlignment w:val="center"/>
              <w:rPr>
                <w:color w:val="000000"/>
                <w:kern w:val="0"/>
                <w:sz w:val="18"/>
                <w:szCs w:val="18"/>
              </w:rPr>
            </w:pPr>
            <w:r>
              <w:rPr>
                <w:color w:val="000000"/>
                <w:kern w:val="0"/>
                <w:sz w:val="18"/>
                <w:szCs w:val="18"/>
              </w:rPr>
              <w:t>-3.38%</w:t>
            </w:r>
          </w:p>
        </w:tc>
      </w:tr>
      <w:tr>
        <w:tblPrEx>
          <w:tblCellMar>
            <w:top w:w="0" w:type="dxa"/>
            <w:left w:w="0" w:type="dxa"/>
            <w:bottom w:w="0" w:type="dxa"/>
            <w:right w:w="0" w:type="dxa"/>
          </w:tblCellMar>
        </w:tblPrEx>
        <w:trPr>
          <w:trHeight w:val="340" w:hRule="atLeast"/>
          <w:jc w:val="center"/>
        </w:trPr>
        <w:tc>
          <w:tcPr>
            <w:tcW w:w="1583" w:type="dxa"/>
            <w:vMerge w:val="continue"/>
            <w:tcBorders>
              <w:top w:val="single" w:color="4F81BD" w:sz="8" w:space="0"/>
              <w:left w:val="single" w:color="4F81BD" w:sz="8" w:space="0"/>
              <w:bottom w:val="single" w:color="4F81BD" w:sz="8" w:space="0"/>
              <w:right w:val="single" w:color="4F81BD" w:sz="8" w:space="0"/>
            </w:tcBorders>
            <w:shd w:val="clear" w:color="auto" w:fill="FFFFFF"/>
            <w:vAlign w:val="center"/>
          </w:tcPr>
          <w:p>
            <w:pPr>
              <w:spacing w:beforeLines="0" w:afterLines="0"/>
              <w:jc w:val="left"/>
              <w:rPr>
                <w:color w:val="000000"/>
                <w:kern w:val="0"/>
                <w:sz w:val="18"/>
                <w:szCs w:val="18"/>
              </w:rPr>
            </w:pPr>
          </w:p>
        </w:tc>
        <w:tc>
          <w:tcPr>
            <w:tcW w:w="1186" w:type="dxa"/>
            <w:tcBorders>
              <w:top w:val="single" w:color="4F81BD" w:sz="8" w:space="0"/>
              <w:left w:val="single" w:color="4F81BD" w:sz="8" w:space="0"/>
              <w:bottom w:val="single" w:color="4F81BD" w:sz="8" w:space="0"/>
              <w:right w:val="single" w:color="4F81BD" w:sz="8" w:space="0"/>
            </w:tcBorders>
            <w:shd w:val="clear" w:color="auto" w:fill="FFFFFF"/>
            <w:tcMar>
              <w:top w:w="54" w:type="dxa"/>
              <w:left w:w="108" w:type="dxa"/>
              <w:bottom w:w="54" w:type="dxa"/>
              <w:right w:w="108" w:type="dxa"/>
            </w:tcMar>
            <w:vAlign w:val="center"/>
          </w:tcPr>
          <w:p>
            <w:pPr>
              <w:pStyle w:val="16"/>
              <w:spacing w:before="120" w:after="120"/>
              <w:jc w:val="center"/>
              <w:rPr>
                <w:color w:val="000000"/>
                <w:sz w:val="18"/>
                <w:szCs w:val="18"/>
              </w:rPr>
            </w:pPr>
            <w:r>
              <w:rPr>
                <w:color w:val="000000"/>
                <w:sz w:val="18"/>
                <w:szCs w:val="18"/>
              </w:rPr>
              <w:t>[0, -2]</w:t>
            </w:r>
          </w:p>
        </w:tc>
        <w:tc>
          <w:tcPr>
            <w:tcW w:w="1487" w:type="dxa"/>
            <w:tcBorders>
              <w:top w:val="single" w:color="4F81BD" w:sz="8" w:space="0"/>
              <w:left w:val="single" w:color="4F81BD" w:sz="8" w:space="0"/>
              <w:bottom w:val="single" w:color="4F81BD" w:sz="8" w:space="0"/>
              <w:right w:val="single" w:color="4F81BD" w:sz="8" w:space="0"/>
            </w:tcBorders>
            <w:shd w:val="clear" w:color="auto" w:fill="FFFFFF"/>
            <w:tcMar>
              <w:top w:w="54" w:type="dxa"/>
              <w:left w:w="108" w:type="dxa"/>
              <w:bottom w:w="54" w:type="dxa"/>
              <w:right w:w="108" w:type="dxa"/>
            </w:tcMar>
            <w:vAlign w:val="center"/>
          </w:tcPr>
          <w:p>
            <w:pPr>
              <w:spacing w:before="120" w:after="120"/>
              <w:jc w:val="center"/>
              <w:textAlignment w:val="center"/>
              <w:rPr>
                <w:color w:val="000000"/>
                <w:kern w:val="0"/>
                <w:sz w:val="18"/>
                <w:szCs w:val="18"/>
              </w:rPr>
            </w:pPr>
            <w:r>
              <w:rPr>
                <w:color w:val="000000"/>
                <w:kern w:val="0"/>
                <w:sz w:val="18"/>
                <w:szCs w:val="18"/>
              </w:rPr>
              <w:t>-0.60%</w:t>
            </w:r>
          </w:p>
        </w:tc>
        <w:tc>
          <w:tcPr>
            <w:tcW w:w="1820" w:type="dxa"/>
            <w:tcBorders>
              <w:top w:val="single" w:color="4F81BD" w:sz="8" w:space="0"/>
              <w:left w:val="single" w:color="4F81BD" w:sz="8" w:space="0"/>
              <w:bottom w:val="single" w:color="4F81BD" w:sz="8" w:space="0"/>
              <w:right w:val="single" w:color="4F81BD" w:sz="8" w:space="0"/>
            </w:tcBorders>
            <w:shd w:val="clear" w:color="auto" w:fill="FFFFFF"/>
            <w:tcMar>
              <w:top w:w="54" w:type="dxa"/>
              <w:left w:w="108" w:type="dxa"/>
              <w:bottom w:w="54" w:type="dxa"/>
              <w:right w:w="108" w:type="dxa"/>
            </w:tcMar>
            <w:vAlign w:val="center"/>
          </w:tcPr>
          <w:p>
            <w:pPr>
              <w:spacing w:before="120" w:after="120"/>
              <w:jc w:val="center"/>
              <w:textAlignment w:val="center"/>
              <w:rPr>
                <w:color w:val="000000"/>
                <w:kern w:val="0"/>
                <w:sz w:val="18"/>
                <w:szCs w:val="18"/>
              </w:rPr>
            </w:pPr>
            <w:r>
              <w:rPr>
                <w:color w:val="000000"/>
                <w:kern w:val="0"/>
                <w:sz w:val="18"/>
                <w:szCs w:val="18"/>
              </w:rPr>
              <w:t>1.58%</w:t>
            </w:r>
          </w:p>
        </w:tc>
        <w:tc>
          <w:tcPr>
            <w:tcW w:w="1915" w:type="dxa"/>
            <w:tcBorders>
              <w:top w:val="single" w:color="4F81BD" w:sz="8" w:space="0"/>
              <w:left w:val="single" w:color="4F81BD" w:sz="8" w:space="0"/>
              <w:bottom w:val="single" w:color="4F81BD" w:sz="8" w:space="0"/>
              <w:right w:val="single" w:color="4F81BD" w:sz="8" w:space="0"/>
            </w:tcBorders>
            <w:shd w:val="clear" w:color="auto" w:fill="FFFFFF"/>
            <w:tcMar>
              <w:top w:w="54" w:type="dxa"/>
              <w:left w:w="108" w:type="dxa"/>
              <w:bottom w:w="54" w:type="dxa"/>
              <w:right w:w="108" w:type="dxa"/>
            </w:tcMar>
            <w:vAlign w:val="center"/>
          </w:tcPr>
          <w:p>
            <w:pPr>
              <w:spacing w:before="120" w:after="120"/>
              <w:jc w:val="center"/>
              <w:textAlignment w:val="center"/>
              <w:rPr>
                <w:color w:val="000000"/>
                <w:kern w:val="0"/>
                <w:sz w:val="18"/>
                <w:szCs w:val="18"/>
              </w:rPr>
            </w:pPr>
            <w:r>
              <w:rPr>
                <w:color w:val="000000"/>
                <w:kern w:val="0"/>
                <w:sz w:val="18"/>
                <w:szCs w:val="18"/>
              </w:rPr>
              <w:t>-0.57%</w:t>
            </w:r>
          </w:p>
        </w:tc>
        <w:tc>
          <w:tcPr>
            <w:tcW w:w="1915" w:type="dxa"/>
            <w:tcBorders>
              <w:top w:val="single" w:color="4F81BD" w:sz="8" w:space="0"/>
              <w:left w:val="single" w:color="4F81BD" w:sz="8" w:space="0"/>
              <w:bottom w:val="single" w:color="4F81BD" w:sz="8" w:space="0"/>
              <w:right w:val="single" w:color="4F81BD" w:sz="8" w:space="0"/>
            </w:tcBorders>
            <w:shd w:val="clear" w:color="auto" w:fill="FFFFFF"/>
            <w:tcMar>
              <w:top w:w="54" w:type="dxa"/>
              <w:left w:w="108" w:type="dxa"/>
              <w:bottom w:w="54" w:type="dxa"/>
              <w:right w:w="108" w:type="dxa"/>
            </w:tcMar>
            <w:vAlign w:val="center"/>
          </w:tcPr>
          <w:p>
            <w:pPr>
              <w:spacing w:before="120" w:after="120"/>
              <w:jc w:val="center"/>
              <w:textAlignment w:val="center"/>
              <w:rPr>
                <w:color w:val="000000"/>
                <w:kern w:val="0"/>
                <w:sz w:val="18"/>
                <w:szCs w:val="18"/>
              </w:rPr>
            </w:pPr>
            <w:r>
              <w:rPr>
                <w:color w:val="000000"/>
                <w:kern w:val="0"/>
                <w:sz w:val="18"/>
                <w:szCs w:val="18"/>
              </w:rPr>
              <w:t>-0.22%</w:t>
            </w:r>
          </w:p>
        </w:tc>
      </w:tr>
      <w:tr>
        <w:tblPrEx>
          <w:tblCellMar>
            <w:top w:w="0" w:type="dxa"/>
            <w:left w:w="0" w:type="dxa"/>
            <w:bottom w:w="0" w:type="dxa"/>
            <w:right w:w="0" w:type="dxa"/>
          </w:tblCellMar>
        </w:tblPrEx>
        <w:trPr>
          <w:trHeight w:val="340" w:hRule="atLeast"/>
          <w:jc w:val="center"/>
        </w:trPr>
        <w:tc>
          <w:tcPr>
            <w:tcW w:w="1583" w:type="dxa"/>
            <w:vMerge w:val="continue"/>
            <w:tcBorders>
              <w:top w:val="single" w:color="4F81BD" w:sz="8" w:space="0"/>
              <w:left w:val="single" w:color="4F81BD" w:sz="8" w:space="0"/>
              <w:bottom w:val="single" w:color="4F81BD" w:sz="8" w:space="0"/>
              <w:right w:val="single" w:color="4F81BD" w:sz="8" w:space="0"/>
            </w:tcBorders>
            <w:shd w:val="clear" w:color="auto" w:fill="B8CCE4"/>
            <w:vAlign w:val="center"/>
          </w:tcPr>
          <w:p>
            <w:pPr>
              <w:spacing w:beforeLines="0" w:afterLines="0"/>
              <w:jc w:val="left"/>
              <w:rPr>
                <w:color w:val="000000"/>
                <w:kern w:val="0"/>
                <w:sz w:val="18"/>
                <w:szCs w:val="18"/>
              </w:rPr>
            </w:pPr>
          </w:p>
        </w:tc>
        <w:tc>
          <w:tcPr>
            <w:tcW w:w="1186" w:type="dxa"/>
            <w:tcBorders>
              <w:top w:val="single" w:color="4F81BD" w:sz="8" w:space="0"/>
              <w:left w:val="single" w:color="4F81BD" w:sz="8" w:space="0"/>
              <w:bottom w:val="single" w:color="4F81BD" w:sz="8" w:space="0"/>
              <w:right w:val="single" w:color="4F81BD" w:sz="8" w:space="0"/>
            </w:tcBorders>
            <w:shd w:val="clear" w:color="auto" w:fill="B8CCE4"/>
            <w:tcMar>
              <w:top w:w="54" w:type="dxa"/>
              <w:left w:w="108" w:type="dxa"/>
              <w:bottom w:w="54" w:type="dxa"/>
              <w:right w:w="108" w:type="dxa"/>
            </w:tcMar>
            <w:vAlign w:val="center"/>
          </w:tcPr>
          <w:p>
            <w:pPr>
              <w:pStyle w:val="16"/>
              <w:spacing w:before="120" w:after="120"/>
              <w:jc w:val="center"/>
              <w:rPr>
                <w:color w:val="000000"/>
                <w:sz w:val="18"/>
                <w:szCs w:val="18"/>
              </w:rPr>
            </w:pPr>
            <w:r>
              <w:rPr>
                <w:color w:val="000000"/>
                <w:sz w:val="18"/>
                <w:szCs w:val="18"/>
              </w:rPr>
              <w:t>[0, -3]</w:t>
            </w:r>
          </w:p>
        </w:tc>
        <w:tc>
          <w:tcPr>
            <w:tcW w:w="1487" w:type="dxa"/>
            <w:tcBorders>
              <w:top w:val="single" w:color="4F81BD" w:sz="8" w:space="0"/>
              <w:left w:val="single" w:color="4F81BD" w:sz="8" w:space="0"/>
              <w:bottom w:val="single" w:color="4F81BD" w:sz="8" w:space="0"/>
              <w:right w:val="single" w:color="4F81BD" w:sz="8" w:space="0"/>
            </w:tcBorders>
            <w:shd w:val="clear" w:color="auto" w:fill="B8CCE4"/>
            <w:tcMar>
              <w:top w:w="54" w:type="dxa"/>
              <w:left w:w="108" w:type="dxa"/>
              <w:bottom w:w="54" w:type="dxa"/>
              <w:right w:w="108" w:type="dxa"/>
            </w:tcMar>
            <w:vAlign w:val="center"/>
          </w:tcPr>
          <w:p>
            <w:pPr>
              <w:spacing w:before="120" w:after="120"/>
              <w:jc w:val="center"/>
              <w:textAlignment w:val="center"/>
              <w:rPr>
                <w:color w:val="000000"/>
                <w:kern w:val="0"/>
                <w:sz w:val="18"/>
                <w:szCs w:val="18"/>
              </w:rPr>
            </w:pPr>
            <w:r>
              <w:rPr>
                <w:color w:val="000000"/>
                <w:kern w:val="0"/>
                <w:sz w:val="18"/>
                <w:szCs w:val="18"/>
              </w:rPr>
              <w:t>3.08%</w:t>
            </w:r>
          </w:p>
        </w:tc>
        <w:tc>
          <w:tcPr>
            <w:tcW w:w="1820" w:type="dxa"/>
            <w:tcBorders>
              <w:top w:val="single" w:color="4F81BD" w:sz="8" w:space="0"/>
              <w:left w:val="single" w:color="4F81BD" w:sz="8" w:space="0"/>
              <w:bottom w:val="single" w:color="4F81BD" w:sz="8" w:space="0"/>
              <w:right w:val="single" w:color="4F81BD" w:sz="8" w:space="0"/>
            </w:tcBorders>
            <w:shd w:val="clear" w:color="auto" w:fill="B8CCE4"/>
            <w:tcMar>
              <w:top w:w="54" w:type="dxa"/>
              <w:left w:w="108" w:type="dxa"/>
              <w:bottom w:w="54" w:type="dxa"/>
              <w:right w:w="108" w:type="dxa"/>
            </w:tcMar>
            <w:vAlign w:val="center"/>
          </w:tcPr>
          <w:p>
            <w:pPr>
              <w:spacing w:before="120" w:after="120"/>
              <w:jc w:val="center"/>
              <w:textAlignment w:val="center"/>
              <w:rPr>
                <w:color w:val="000000"/>
                <w:kern w:val="0"/>
                <w:sz w:val="18"/>
                <w:szCs w:val="18"/>
              </w:rPr>
            </w:pPr>
            <w:r>
              <w:rPr>
                <w:rFonts w:hint="eastAsia"/>
                <w:color w:val="000000"/>
                <w:kern w:val="0"/>
                <w:sz w:val="18"/>
                <w:szCs w:val="18"/>
              </w:rPr>
              <w:t>5</w:t>
            </w:r>
            <w:r>
              <w:rPr>
                <w:color w:val="000000"/>
                <w:kern w:val="0"/>
                <w:sz w:val="18"/>
                <w:szCs w:val="18"/>
              </w:rPr>
              <w:t>.77%</w:t>
            </w:r>
          </w:p>
        </w:tc>
        <w:tc>
          <w:tcPr>
            <w:tcW w:w="1915" w:type="dxa"/>
            <w:tcBorders>
              <w:top w:val="single" w:color="4F81BD" w:sz="8" w:space="0"/>
              <w:left w:val="single" w:color="4F81BD" w:sz="8" w:space="0"/>
              <w:bottom w:val="single" w:color="4F81BD" w:sz="8" w:space="0"/>
              <w:right w:val="single" w:color="4F81BD" w:sz="8" w:space="0"/>
            </w:tcBorders>
            <w:shd w:val="clear" w:color="auto" w:fill="B8CCE4"/>
            <w:tcMar>
              <w:top w:w="54" w:type="dxa"/>
              <w:left w:w="108" w:type="dxa"/>
              <w:bottom w:w="54" w:type="dxa"/>
              <w:right w:w="108" w:type="dxa"/>
            </w:tcMar>
            <w:vAlign w:val="center"/>
          </w:tcPr>
          <w:p>
            <w:pPr>
              <w:spacing w:before="120" w:after="120"/>
              <w:jc w:val="center"/>
              <w:textAlignment w:val="center"/>
              <w:rPr>
                <w:color w:val="000000"/>
                <w:kern w:val="0"/>
                <w:sz w:val="18"/>
                <w:szCs w:val="18"/>
              </w:rPr>
            </w:pPr>
            <w:r>
              <w:rPr>
                <w:color w:val="000000"/>
                <w:kern w:val="0"/>
                <w:sz w:val="18"/>
                <w:szCs w:val="18"/>
              </w:rPr>
              <w:t>3.25%</w:t>
            </w:r>
          </w:p>
        </w:tc>
        <w:tc>
          <w:tcPr>
            <w:tcW w:w="1915" w:type="dxa"/>
            <w:tcBorders>
              <w:top w:val="single" w:color="4F81BD" w:sz="8" w:space="0"/>
              <w:left w:val="single" w:color="4F81BD" w:sz="8" w:space="0"/>
              <w:bottom w:val="single" w:color="4F81BD" w:sz="8" w:space="0"/>
              <w:right w:val="single" w:color="4F81BD" w:sz="8" w:space="0"/>
            </w:tcBorders>
            <w:shd w:val="clear" w:color="auto" w:fill="B8CCE4"/>
            <w:tcMar>
              <w:top w:w="54" w:type="dxa"/>
              <w:left w:w="108" w:type="dxa"/>
              <w:bottom w:w="54" w:type="dxa"/>
              <w:right w:w="108" w:type="dxa"/>
            </w:tcMar>
            <w:vAlign w:val="center"/>
          </w:tcPr>
          <w:p>
            <w:pPr>
              <w:spacing w:before="120" w:after="120"/>
              <w:jc w:val="center"/>
              <w:textAlignment w:val="center"/>
              <w:rPr>
                <w:color w:val="000000"/>
                <w:kern w:val="0"/>
                <w:sz w:val="18"/>
                <w:szCs w:val="18"/>
              </w:rPr>
            </w:pPr>
            <w:r>
              <w:rPr>
                <w:color w:val="000000"/>
                <w:kern w:val="0"/>
                <w:sz w:val="18"/>
                <w:szCs w:val="18"/>
              </w:rPr>
              <w:t>1.48%</w:t>
            </w:r>
          </w:p>
        </w:tc>
      </w:tr>
    </w:tbl>
    <w:p>
      <w:pPr>
        <w:spacing w:before="120" w:after="120"/>
        <w:rPr>
          <w:szCs w:val="21"/>
        </w:rPr>
      </w:pPr>
      <w:r>
        <w:rPr>
          <w:rFonts w:hint="eastAsia"/>
        </w:rPr>
        <w:t>According to the simulation results, using differential RI, common PMI, and differential CQI at the same time has small throughput loss compared with reporting multiple RIs, multiple PMIs and multiple CQIs.</w:t>
      </w:r>
    </w:p>
    <w:p>
      <w:pPr>
        <w:pStyle w:val="30"/>
        <w:spacing w:before="120" w:after="120"/>
      </w:pPr>
      <w:bookmarkStart w:id="149" w:name="_Toc2159"/>
      <w:bookmarkStart w:id="150" w:name="_Toc9676"/>
      <w:bookmarkStart w:id="151" w:name="_Toc21093"/>
      <w:r>
        <w:t xml:space="preserve">Compared with reporting multiple </w:t>
      </w:r>
      <w:r>
        <w:rPr>
          <w:rFonts w:hint="eastAsia"/>
        </w:rPr>
        <w:t>RIs, multiple PMIs and multiple CQIs</w:t>
      </w:r>
      <w:r>
        <w:t xml:space="preserve">, the </w:t>
      </w:r>
      <w:r>
        <w:rPr>
          <w:rFonts w:hint="eastAsia"/>
        </w:rPr>
        <w:t xml:space="preserve">average </w:t>
      </w:r>
      <w:r>
        <w:t xml:space="preserve">throughput loss of </w:t>
      </w:r>
      <w:r>
        <w:rPr>
          <w:rFonts w:hint="eastAsia"/>
        </w:rPr>
        <w:t xml:space="preserve">reporting differential RI, common PMI and differential CQI </w:t>
      </w:r>
      <w:r>
        <w:t>is small</w:t>
      </w:r>
      <w:r>
        <w:rPr>
          <w:rFonts w:hint="eastAsia"/>
        </w:rPr>
        <w:t>.</w:t>
      </w:r>
      <w:bookmarkEnd w:id="149"/>
      <w:bookmarkEnd w:id="150"/>
      <w:bookmarkEnd w:id="151"/>
    </w:p>
    <w:p>
      <w:pPr>
        <w:spacing w:before="120" w:after="120"/>
      </w:pPr>
      <w:r>
        <w:t xml:space="preserve"> </w:t>
      </w:r>
    </w:p>
    <w:p>
      <w:pPr>
        <w:pStyle w:val="3"/>
        <w:numPr>
          <w:ilvl w:val="1"/>
          <w:numId w:val="10"/>
        </w:numPr>
        <w:spacing w:before="120" w:after="120"/>
        <w:ind w:right="210"/>
        <w:rPr>
          <w:rFonts w:ascii="Times New Roman" w:hAnsi="Times New Roman" w:eastAsia="宋体"/>
          <w:b/>
          <w:bCs/>
          <w:sz w:val="21"/>
          <w:szCs w:val="21"/>
        </w:rPr>
      </w:pPr>
      <w:r>
        <w:rPr>
          <w:rFonts w:hint="eastAsia" w:ascii="Times New Roman" w:hAnsi="Times New Roman" w:eastAsia="宋体"/>
          <w:b/>
          <w:bCs/>
          <w:sz w:val="21"/>
          <w:szCs w:val="21"/>
        </w:rPr>
        <w:t>UE complexity</w:t>
      </w:r>
      <w:r>
        <w:rPr>
          <w:rFonts w:ascii="Times New Roman" w:hAnsi="Times New Roman" w:eastAsia="宋体"/>
          <w:b/>
          <w:bCs/>
          <w:sz w:val="21"/>
          <w:szCs w:val="21"/>
        </w:rPr>
        <w:t xml:space="preserve"> reduction</w:t>
      </w:r>
    </w:p>
    <w:p>
      <w:pPr>
        <w:spacing w:before="120" w:after="120"/>
      </w:pPr>
      <w:r>
        <w:rPr>
          <w:rFonts w:hint="eastAsia"/>
        </w:rPr>
        <w:t xml:space="preserve">The </w:t>
      </w:r>
      <w:r>
        <w:t xml:space="preserve">UE </w:t>
      </w:r>
      <w:r>
        <w:rPr>
          <w:rFonts w:hint="eastAsia"/>
        </w:rPr>
        <w:t>complexity will increase with the number of CSIs reported in a reporting occasion. Using legacy method, UE needs to scan all CSI-RS resources</w:t>
      </w:r>
      <w:r>
        <w:t xml:space="preserve"> for a best combination of</w:t>
      </w:r>
      <w:r>
        <w:rPr>
          <w:rFonts w:hint="eastAsia"/>
        </w:rPr>
        <w:t xml:space="preserve"> RI</w:t>
      </w:r>
      <w:r>
        <w:t>,</w:t>
      </w:r>
      <w:r>
        <w:rPr>
          <w:rFonts w:hint="eastAsia"/>
        </w:rPr>
        <w:t xml:space="preserve"> PMI and </w:t>
      </w:r>
      <w:r>
        <w:t>CQI</w:t>
      </w:r>
      <w:r>
        <w:rPr>
          <w:rFonts w:hint="eastAsia"/>
        </w:rPr>
        <w:t xml:space="preserve"> for each sub-configuration. If a CSI report configuration configured with L sub-configurations and UE needs to report L CSIs for the CSI report configuration. UE needs to calculate L*O*R*P times for the L CSIs</w:t>
      </w:r>
      <w:r>
        <w:t>, where</w:t>
      </w:r>
      <w:r>
        <w:rPr>
          <w:rFonts w:hint="eastAsia"/>
        </w:rPr>
        <w:t xml:space="preserve"> R is the maximum RI value, P is the number of PMI candidates, O is the number of </w:t>
      </w:r>
      <w:r>
        <w:t xml:space="preserve">CSI-RS </w:t>
      </w:r>
      <w:r>
        <w:rPr>
          <w:rFonts w:hint="eastAsia"/>
        </w:rPr>
        <w:t>resource</w:t>
      </w:r>
      <w:r>
        <w:t>s</w:t>
      </w:r>
      <w:r>
        <w:rPr>
          <w:rFonts w:hint="eastAsia"/>
        </w:rPr>
        <w:t xml:space="preserve">. One example of CSI calculation for one resource is shown in </w:t>
      </w:r>
      <w:r>
        <w:t>F</w:t>
      </w:r>
      <w:r>
        <w:rPr>
          <w:rFonts w:hint="eastAsia"/>
        </w:rPr>
        <w:t>igure 16</w:t>
      </w:r>
      <w:r>
        <w:t xml:space="preserve"> as </w:t>
      </w:r>
      <w:r>
        <w:rPr>
          <w:rFonts w:hint="eastAsia"/>
        </w:rPr>
        <w:t>below.</w:t>
      </w:r>
    </w:p>
    <w:p>
      <w:pPr>
        <w:spacing w:before="120" w:after="120"/>
        <w:jc w:val="center"/>
      </w:pPr>
      <w:r>
        <w:drawing>
          <wp:inline distT="0" distB="0" distL="114300" distR="114300">
            <wp:extent cx="2813050" cy="1958340"/>
            <wp:effectExtent l="0" t="0" r="6350" b="3810"/>
            <wp:docPr id="52" name="图片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 113"/>
                    <pic:cNvPicPr>
                      <a:picLocks noChangeAspect="1"/>
                    </pic:cNvPicPr>
                  </pic:nvPicPr>
                  <pic:blipFill>
                    <a:blip r:embed="rId96"/>
                    <a:stretch>
                      <a:fillRect/>
                    </a:stretch>
                  </pic:blipFill>
                  <pic:spPr>
                    <a:xfrm>
                      <a:off x="0" y="0"/>
                      <a:ext cx="2813050" cy="1958340"/>
                    </a:xfrm>
                    <a:prstGeom prst="rect">
                      <a:avLst/>
                    </a:prstGeom>
                    <a:noFill/>
                    <a:ln>
                      <a:noFill/>
                    </a:ln>
                  </pic:spPr>
                </pic:pic>
              </a:graphicData>
            </a:graphic>
          </wp:inline>
        </w:drawing>
      </w:r>
    </w:p>
    <w:p>
      <w:pPr>
        <w:pStyle w:val="59"/>
        <w:spacing w:before="120" w:after="120"/>
        <w:rPr>
          <w:rFonts w:hint="default"/>
        </w:rPr>
      </w:pPr>
      <w:r>
        <w:rPr>
          <w:rFonts w:hint="default"/>
        </w:rPr>
        <w:t>L</w:t>
      </w:r>
      <w:r>
        <w:t>egacy CSI calculation method for one resource</w:t>
      </w:r>
    </w:p>
    <w:p>
      <w:pPr>
        <w:spacing w:before="120" w:after="120"/>
      </w:pPr>
      <w:r>
        <w:rPr>
          <w:rFonts w:hint="eastAsia"/>
        </w:rPr>
        <w:t xml:space="preserve">Hence, UE complexity increases linearly with the number of CSIs L. However, as discussed in section 3.2, the RI, PMI between L CSIs have high correlation and </w:t>
      </w:r>
      <w:r>
        <w:t xml:space="preserve">it </w:t>
      </w:r>
      <w:r>
        <w:rPr>
          <w:rFonts w:hint="eastAsia"/>
        </w:rPr>
        <w:t xml:space="preserve">can be used to reduce signaling overhead. Furthermore, the high correlation can also be </w:t>
      </w:r>
      <w:r>
        <w:t>exploited</w:t>
      </w:r>
      <w:r>
        <w:rPr>
          <w:rFonts w:hint="eastAsia"/>
        </w:rPr>
        <w:t xml:space="preserve"> to reduce UE complexity.</w:t>
      </w:r>
    </w:p>
    <w:p>
      <w:pPr>
        <w:spacing w:before="120" w:after="120"/>
      </w:pPr>
      <w:r>
        <w:rPr>
          <w:rFonts w:hint="eastAsia"/>
        </w:rPr>
        <w:t xml:space="preserve">If differential RI is used, </w:t>
      </w:r>
      <w:r>
        <w:t>UE</w:t>
      </w:r>
      <w:r>
        <w:rPr>
          <w:rFonts w:hint="eastAsia"/>
        </w:rPr>
        <w:t xml:space="preserve"> only</w:t>
      </w:r>
      <w:r>
        <w:t xml:space="preserve"> need to search all RI values for</w:t>
      </w:r>
      <w:r>
        <w:rPr>
          <w:rFonts w:hint="eastAsia"/>
        </w:rPr>
        <w:t xml:space="preserve"> one sub-configuration. For other sub-configurations, UE does not need to </w:t>
      </w:r>
      <w:r>
        <w:t>repeat the exhaustive search</w:t>
      </w:r>
      <w:r>
        <w:rPr>
          <w:rFonts w:hint="eastAsia"/>
        </w:rPr>
        <w:t>. Owing to the differential RI only indicates 0 or -1, the number of RI candidates is reduced to 2</w:t>
      </w:r>
      <w:r>
        <w:t>, where</w:t>
      </w:r>
      <w:r>
        <w:rPr>
          <w:rFonts w:hint="eastAsia"/>
        </w:rPr>
        <w:t xml:space="preserve"> </w:t>
      </w:r>
      <w:r>
        <w:t>o</w:t>
      </w:r>
      <w:r>
        <w:rPr>
          <w:rFonts w:hint="eastAsia"/>
        </w:rPr>
        <w:t xml:space="preserve">ne </w:t>
      </w:r>
      <w:r>
        <w:t xml:space="preserve">candidate indicates </w:t>
      </w:r>
      <w:r>
        <w:rPr>
          <w:rFonts w:hint="eastAsia"/>
        </w:rPr>
        <w:t>the RI value</w:t>
      </w:r>
      <w:r>
        <w:t xml:space="preserve"> remains the same as the</w:t>
      </w:r>
      <w:r>
        <w:rPr>
          <w:rFonts w:hint="eastAsia"/>
        </w:rPr>
        <w:t xml:space="preserve"> </w:t>
      </w:r>
      <w:r>
        <w:t>reference</w:t>
      </w:r>
      <w:r>
        <w:rPr>
          <w:rFonts w:hint="eastAsia"/>
        </w:rPr>
        <w:t xml:space="preserve"> sub-configuration</w:t>
      </w:r>
      <w:r>
        <w:t xml:space="preserve"> </w:t>
      </w:r>
      <w:r>
        <w:rPr>
          <w:rFonts w:hint="eastAsia"/>
        </w:rPr>
        <w:t xml:space="preserve">(e.g., sub-configuration with largest number of ports) and the other </w:t>
      </w:r>
      <w:r>
        <w:t>candidate implies that the RI is reduced by one due to the spatial domain adaptation</w:t>
      </w:r>
      <w:r>
        <w:rPr>
          <w:rFonts w:hint="eastAsia"/>
        </w:rPr>
        <w:t xml:space="preserve">. </w:t>
      </w:r>
    </w:p>
    <w:p>
      <w:pPr>
        <w:spacing w:before="120" w:after="120"/>
      </w:pPr>
      <w:r>
        <w:rPr>
          <w:rFonts w:hint="eastAsia"/>
        </w:rPr>
        <w:t xml:space="preserve">If common PMI is used, </w:t>
      </w:r>
      <w:r>
        <w:t xml:space="preserve">UE </w:t>
      </w:r>
      <w:r>
        <w:rPr>
          <w:rFonts w:hint="eastAsia"/>
        </w:rPr>
        <w:t xml:space="preserve">only </w:t>
      </w:r>
      <w:r>
        <w:t xml:space="preserve">needs to </w:t>
      </w:r>
      <w:r>
        <w:rPr>
          <w:rFonts w:hint="eastAsia"/>
        </w:rPr>
        <w:t>se</w:t>
      </w:r>
      <w:r>
        <w:t xml:space="preserve">arch all PMIs for </w:t>
      </w:r>
      <w:r>
        <w:rPr>
          <w:rFonts w:hint="eastAsia"/>
        </w:rPr>
        <w:t xml:space="preserve">one sub-configuration. For the other sub-configurations, the number of PMI candidates is reduced to X, considering that the RI </w:t>
      </w:r>
      <w:r>
        <w:t>does</w:t>
      </w:r>
      <w:r>
        <w:rPr>
          <w:rFonts w:hint="eastAsia"/>
        </w:rPr>
        <w:t xml:space="preserve"> not change or only decreases by 1, X is number of columns for the precoder matrix of common PMI.</w:t>
      </w:r>
    </w:p>
    <w:p>
      <w:pPr>
        <w:spacing w:before="120" w:after="120"/>
        <w:jc w:val="center"/>
      </w:pPr>
      <w:r>
        <w:drawing>
          <wp:inline distT="0" distB="0" distL="114300" distR="114300">
            <wp:extent cx="3617595" cy="2058670"/>
            <wp:effectExtent l="0" t="0" r="1905" b="17780"/>
            <wp:docPr id="53" name="图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图片 114"/>
                    <pic:cNvPicPr>
                      <a:picLocks noChangeAspect="1"/>
                    </pic:cNvPicPr>
                  </pic:nvPicPr>
                  <pic:blipFill>
                    <a:blip r:embed="rId97"/>
                    <a:stretch>
                      <a:fillRect/>
                    </a:stretch>
                  </pic:blipFill>
                  <pic:spPr>
                    <a:xfrm>
                      <a:off x="0" y="0"/>
                      <a:ext cx="3617595" cy="2058670"/>
                    </a:xfrm>
                    <a:prstGeom prst="rect">
                      <a:avLst/>
                    </a:prstGeom>
                    <a:noFill/>
                    <a:ln>
                      <a:noFill/>
                    </a:ln>
                  </pic:spPr>
                </pic:pic>
              </a:graphicData>
            </a:graphic>
          </wp:inline>
        </w:drawing>
      </w:r>
    </w:p>
    <w:p>
      <w:pPr>
        <w:pStyle w:val="59"/>
        <w:spacing w:before="120" w:after="120"/>
        <w:rPr>
          <w:rFonts w:hint="default"/>
        </w:rPr>
      </w:pPr>
      <w:r>
        <w:t>Reduced UE complexity for one resource with common PMI</w:t>
      </w:r>
    </w:p>
    <w:p>
      <w:pPr>
        <w:spacing w:before="120" w:after="120"/>
      </w:pPr>
      <w:r>
        <w:rPr>
          <w:rFonts w:hint="eastAsia"/>
        </w:rPr>
        <w:t>For example, if common PMI is used, and O=1, the UE needs to calculate R*P+(L-1)</w:t>
      </w:r>
      <w:r>
        <w:t xml:space="preserve"> </w:t>
      </w:r>
      <w:r>
        <w:rPr>
          <w:rFonts w:hint="eastAsia"/>
        </w:rPr>
        <w:t xml:space="preserve">*R*X times for the L CSIs. </w:t>
      </w:r>
      <w:r>
        <w:t>A</w:t>
      </w:r>
      <w:r>
        <w:rPr>
          <w:rFonts w:hint="eastAsia"/>
        </w:rPr>
        <w:t xml:space="preserve">s shown in </w:t>
      </w:r>
      <w:r>
        <w:t>F</w:t>
      </w:r>
      <w:r>
        <w:rPr>
          <w:rFonts w:hint="eastAsia"/>
        </w:rPr>
        <w:t>igure</w:t>
      </w:r>
      <w:r>
        <w:t xml:space="preserve"> </w:t>
      </w:r>
      <w:r>
        <w:rPr>
          <w:rFonts w:hint="eastAsia"/>
        </w:rPr>
        <w:t xml:space="preserve">18 </w:t>
      </w:r>
      <w:r>
        <w:t>as</w:t>
      </w:r>
      <w:r>
        <w:rPr>
          <w:rFonts w:hint="eastAsia"/>
        </w:rPr>
        <w:t xml:space="preserve"> below, if differential RI and common PMI are used, and O=1, the UE needs to calculate R*P+(L-1)*2*X times for the L CSIs.</w:t>
      </w:r>
    </w:p>
    <w:p>
      <w:pPr>
        <w:spacing w:before="120" w:after="120"/>
        <w:jc w:val="center"/>
      </w:pPr>
      <w:r>
        <w:drawing>
          <wp:inline distT="0" distB="0" distL="114300" distR="114300">
            <wp:extent cx="3462655" cy="2171065"/>
            <wp:effectExtent l="0" t="0" r="4445" b="635"/>
            <wp:docPr id="55" name="图片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图片 115"/>
                    <pic:cNvPicPr>
                      <a:picLocks noChangeAspect="1"/>
                    </pic:cNvPicPr>
                  </pic:nvPicPr>
                  <pic:blipFill>
                    <a:blip r:embed="rId98"/>
                    <a:stretch>
                      <a:fillRect/>
                    </a:stretch>
                  </pic:blipFill>
                  <pic:spPr>
                    <a:xfrm>
                      <a:off x="0" y="0"/>
                      <a:ext cx="3462655" cy="2171065"/>
                    </a:xfrm>
                    <a:prstGeom prst="rect">
                      <a:avLst/>
                    </a:prstGeom>
                    <a:noFill/>
                    <a:ln>
                      <a:noFill/>
                    </a:ln>
                  </pic:spPr>
                </pic:pic>
              </a:graphicData>
            </a:graphic>
          </wp:inline>
        </w:drawing>
      </w:r>
    </w:p>
    <w:p>
      <w:pPr>
        <w:pStyle w:val="59"/>
        <w:spacing w:before="120" w:after="120"/>
        <w:rPr>
          <w:rFonts w:hint="default"/>
        </w:rPr>
      </w:pPr>
      <w:r>
        <w:t>Reduced UE complexity for one resource with differential RI and common PMI</w:t>
      </w:r>
    </w:p>
    <w:p>
      <w:pPr>
        <w:spacing w:before="120" w:after="120"/>
      </w:pPr>
      <w:r>
        <w:rPr>
          <w:rFonts w:hint="eastAsia"/>
        </w:rPr>
        <w:t xml:space="preserve">Moreover, </w:t>
      </w:r>
      <w:r>
        <w:t xml:space="preserve">considering </w:t>
      </w:r>
      <w:r>
        <w:rPr>
          <w:rFonts w:hint="eastAsia"/>
        </w:rPr>
        <w:t xml:space="preserve">a common CRI </w:t>
      </w:r>
      <w:r>
        <w:t>is</w:t>
      </w:r>
      <w:r>
        <w:rPr>
          <w:rFonts w:hint="eastAsia"/>
        </w:rPr>
        <w:t xml:space="preserve"> used, the UE complexity can be further reduced.</w:t>
      </w:r>
    </w:p>
    <w:p>
      <w:pPr>
        <w:spacing w:before="120" w:after="120"/>
        <w:jc w:val="center"/>
        <w:rPr>
          <w:rFonts w:hint="eastAsia"/>
        </w:rPr>
      </w:pPr>
      <w:r>
        <w:rPr>
          <w:rFonts w:hint="eastAsia"/>
        </w:rPr>
        <w:t>Table 10 CSI calculation times</w:t>
      </w:r>
    </w:p>
    <w:tbl>
      <w:tblPr>
        <w:tblStyle w:val="18"/>
        <w:tblW w:w="0" w:type="auto"/>
        <w:tblInd w:w="93" w:type="dxa"/>
        <w:tblLayout w:type="autofit"/>
        <w:tblCellMar>
          <w:top w:w="0" w:type="dxa"/>
          <w:left w:w="0" w:type="dxa"/>
          <w:bottom w:w="0" w:type="dxa"/>
          <w:right w:w="0" w:type="dxa"/>
        </w:tblCellMar>
      </w:tblPr>
      <w:tblGrid>
        <w:gridCol w:w="3194"/>
        <w:gridCol w:w="2996"/>
        <w:gridCol w:w="2791"/>
      </w:tblGrid>
      <w:tr>
        <w:tblPrEx>
          <w:tblCellMar>
            <w:top w:w="0" w:type="dxa"/>
            <w:left w:w="0" w:type="dxa"/>
            <w:bottom w:w="0" w:type="dxa"/>
            <w:right w:w="0" w:type="dxa"/>
          </w:tblCellMar>
        </w:tblPrEx>
        <w:tc>
          <w:tcPr>
            <w:tcW w:w="3194" w:type="dxa"/>
            <w:tcBorders>
              <w:top w:val="single" w:color="4F81BD" w:sz="8" w:space="0"/>
              <w:left w:val="single" w:color="4F81BD" w:sz="8" w:space="0"/>
              <w:bottom w:val="single" w:color="FFFFFF" w:sz="8" w:space="0"/>
              <w:right w:val="single" w:color="4F81BD" w:sz="8" w:space="0"/>
            </w:tcBorders>
            <w:shd w:val="clear" w:color="auto" w:fill="4F81BD"/>
            <w:tcMar>
              <w:top w:w="15" w:type="dxa"/>
              <w:left w:w="15" w:type="dxa"/>
              <w:bottom w:w="0" w:type="dxa"/>
              <w:right w:w="15" w:type="dxa"/>
            </w:tcMar>
            <w:vAlign w:val="center"/>
          </w:tcPr>
          <w:p>
            <w:pPr>
              <w:spacing w:before="120" w:after="120"/>
              <w:jc w:val="center"/>
              <w:textAlignment w:val="center"/>
              <w:rPr>
                <w:b/>
                <w:bCs/>
                <w:color w:val="FFFFFF"/>
              </w:rPr>
            </w:pPr>
            <w:r>
              <w:rPr>
                <w:b/>
                <w:bCs/>
                <w:color w:val="FFFFFF"/>
                <w:kern w:val="0"/>
              </w:rPr>
              <w:t>Schemes</w:t>
            </w:r>
          </w:p>
        </w:tc>
        <w:tc>
          <w:tcPr>
            <w:tcW w:w="2996" w:type="dxa"/>
            <w:tcBorders>
              <w:top w:val="single" w:color="4F81BD" w:sz="8" w:space="0"/>
              <w:left w:val="nil"/>
              <w:bottom w:val="single" w:color="FFFFFF" w:sz="8" w:space="0"/>
              <w:right w:val="single" w:color="4F81BD" w:sz="8" w:space="0"/>
            </w:tcBorders>
            <w:shd w:val="clear" w:color="auto" w:fill="4F81BD"/>
            <w:tcMar>
              <w:top w:w="15" w:type="dxa"/>
              <w:left w:w="15" w:type="dxa"/>
              <w:bottom w:w="0" w:type="dxa"/>
              <w:right w:w="15" w:type="dxa"/>
            </w:tcMar>
            <w:vAlign w:val="center"/>
          </w:tcPr>
          <w:p>
            <w:pPr>
              <w:spacing w:before="120" w:after="120"/>
              <w:jc w:val="center"/>
              <w:textAlignment w:val="center"/>
              <w:rPr>
                <w:b/>
                <w:bCs/>
                <w:color w:val="FFFFFF"/>
              </w:rPr>
            </w:pPr>
            <w:r>
              <w:rPr>
                <w:b/>
                <w:bCs/>
                <w:color w:val="FFFFFF"/>
                <w:kern w:val="0"/>
              </w:rPr>
              <w:t>CSI calculation time</w:t>
            </w:r>
            <w:r>
              <w:rPr>
                <w:rStyle w:val="61"/>
                <w:b/>
                <w:bCs/>
                <w:color w:val="FFFFFF"/>
              </w:rPr>
              <w:t>s</w:t>
            </w:r>
          </w:p>
        </w:tc>
        <w:tc>
          <w:tcPr>
            <w:tcW w:w="0" w:type="auto"/>
            <w:tcBorders>
              <w:top w:val="single" w:color="4F81BD" w:sz="8" w:space="0"/>
              <w:left w:val="nil"/>
              <w:bottom w:val="single" w:color="FFFFFF" w:sz="8" w:space="0"/>
              <w:right w:val="single" w:color="4F81BD" w:sz="8" w:space="0"/>
            </w:tcBorders>
            <w:shd w:val="clear" w:color="auto" w:fill="4F81BD"/>
            <w:tcMar>
              <w:top w:w="15" w:type="dxa"/>
              <w:left w:w="15" w:type="dxa"/>
              <w:bottom w:w="0" w:type="dxa"/>
              <w:right w:w="15" w:type="dxa"/>
            </w:tcMar>
            <w:vAlign w:val="center"/>
          </w:tcPr>
          <w:p>
            <w:pPr>
              <w:spacing w:before="120" w:after="120"/>
              <w:jc w:val="center"/>
              <w:textAlignment w:val="center"/>
              <w:rPr>
                <w:b/>
                <w:bCs/>
                <w:color w:val="FFFFFF"/>
              </w:rPr>
            </w:pPr>
            <w:r>
              <w:rPr>
                <w:b/>
                <w:bCs/>
                <w:color w:val="FFFFFF"/>
                <w:kern w:val="0"/>
              </w:rPr>
              <w:t>Reduced CSI calculation time</w:t>
            </w:r>
            <w:r>
              <w:rPr>
                <w:rStyle w:val="61"/>
                <w:b/>
                <w:bCs/>
                <w:color w:val="FFFFFF"/>
              </w:rPr>
              <w:t>s</w:t>
            </w:r>
          </w:p>
        </w:tc>
      </w:tr>
      <w:tr>
        <w:tblPrEx>
          <w:tblCellMar>
            <w:top w:w="0" w:type="dxa"/>
            <w:left w:w="0" w:type="dxa"/>
            <w:bottom w:w="0" w:type="dxa"/>
            <w:right w:w="0" w:type="dxa"/>
          </w:tblCellMar>
        </w:tblPrEx>
        <w:tc>
          <w:tcPr>
            <w:tcW w:w="3194" w:type="dxa"/>
            <w:tcBorders>
              <w:top w:val="single" w:color="FFFFFF" w:sz="8" w:space="0"/>
              <w:left w:val="single" w:color="4F81BD" w:sz="8" w:space="0"/>
              <w:bottom w:val="single" w:color="4F81BD" w:sz="8" w:space="0"/>
              <w:right w:val="single" w:color="4F81BD" w:sz="8" w:space="0"/>
            </w:tcBorders>
            <w:shd w:val="clear" w:color="auto" w:fill="B8CCE4"/>
            <w:tcMar>
              <w:top w:w="15" w:type="dxa"/>
              <w:left w:w="15" w:type="dxa"/>
              <w:bottom w:w="0" w:type="dxa"/>
              <w:right w:w="15" w:type="dxa"/>
            </w:tcMar>
            <w:vAlign w:val="center"/>
          </w:tcPr>
          <w:p>
            <w:pPr>
              <w:spacing w:before="120" w:after="120"/>
              <w:jc w:val="center"/>
              <w:rPr>
                <w:color w:val="000000"/>
              </w:rPr>
            </w:pPr>
            <w:r>
              <w:rPr>
                <w:color w:val="000000"/>
              </w:rPr>
              <w:t>Legacy report</w:t>
            </w:r>
          </w:p>
        </w:tc>
        <w:tc>
          <w:tcPr>
            <w:tcW w:w="2996" w:type="dxa"/>
            <w:tcBorders>
              <w:top w:val="single" w:color="FFFFFF" w:sz="2" w:space="0"/>
              <w:left w:val="nil"/>
              <w:bottom w:val="single" w:color="4F81BD" w:sz="8" w:space="0"/>
              <w:right w:val="single" w:color="4F81BD" w:sz="8" w:space="0"/>
            </w:tcBorders>
            <w:shd w:val="clear" w:color="auto" w:fill="B8CCE4"/>
            <w:tcMar>
              <w:top w:w="15" w:type="dxa"/>
              <w:left w:w="15" w:type="dxa"/>
              <w:bottom w:w="0" w:type="dxa"/>
              <w:right w:w="15" w:type="dxa"/>
            </w:tcMar>
            <w:vAlign w:val="center"/>
          </w:tcPr>
          <w:p>
            <w:pPr>
              <w:spacing w:before="120" w:after="120"/>
              <w:jc w:val="center"/>
              <w:rPr>
                <w:color w:val="000000"/>
              </w:rPr>
            </w:pPr>
            <w:r>
              <w:rPr>
                <w:color w:val="000000"/>
              </w:rPr>
              <w:t>L*O*R*P</w:t>
            </w:r>
          </w:p>
        </w:tc>
        <w:tc>
          <w:tcPr>
            <w:tcW w:w="0" w:type="auto"/>
            <w:tcBorders>
              <w:top w:val="single" w:color="FFFFFF" w:sz="2" w:space="0"/>
              <w:left w:val="nil"/>
              <w:bottom w:val="single" w:color="4F81BD" w:sz="8" w:space="0"/>
              <w:right w:val="single" w:color="4F81BD" w:sz="8" w:space="0"/>
            </w:tcBorders>
            <w:shd w:val="clear" w:color="auto" w:fill="B8CCE4"/>
            <w:tcMar>
              <w:top w:w="15" w:type="dxa"/>
              <w:left w:w="15" w:type="dxa"/>
              <w:bottom w:w="0" w:type="dxa"/>
              <w:right w:w="15" w:type="dxa"/>
            </w:tcMar>
            <w:vAlign w:val="center"/>
          </w:tcPr>
          <w:p>
            <w:pPr>
              <w:spacing w:before="120" w:after="120"/>
              <w:jc w:val="center"/>
              <w:rPr>
                <w:color w:val="000000"/>
              </w:rPr>
            </w:pPr>
            <w:r>
              <w:rPr>
                <w:color w:val="000000"/>
              </w:rPr>
              <w:t>-</w:t>
            </w:r>
          </w:p>
        </w:tc>
      </w:tr>
      <w:tr>
        <w:tblPrEx>
          <w:tblCellMar>
            <w:top w:w="0" w:type="dxa"/>
            <w:left w:w="0" w:type="dxa"/>
            <w:bottom w:w="0" w:type="dxa"/>
            <w:right w:w="0" w:type="dxa"/>
          </w:tblCellMar>
        </w:tblPrEx>
        <w:tc>
          <w:tcPr>
            <w:tcW w:w="3194" w:type="dxa"/>
            <w:tcBorders>
              <w:top w:val="single" w:color="4F81BD" w:sz="8" w:space="0"/>
              <w:left w:val="single" w:color="4F81BD" w:sz="8" w:space="0"/>
              <w:bottom w:val="single" w:color="4F81BD" w:sz="8" w:space="0"/>
              <w:right w:val="single" w:color="4F81BD" w:sz="8" w:space="0"/>
            </w:tcBorders>
            <w:shd w:val="clear" w:color="auto" w:fill="FFFFFF"/>
            <w:tcMar>
              <w:top w:w="15" w:type="dxa"/>
              <w:left w:w="15" w:type="dxa"/>
              <w:bottom w:w="0" w:type="dxa"/>
              <w:right w:w="15" w:type="dxa"/>
            </w:tcMar>
            <w:vAlign w:val="center"/>
          </w:tcPr>
          <w:p>
            <w:pPr>
              <w:spacing w:before="120" w:after="120"/>
              <w:jc w:val="center"/>
              <w:rPr>
                <w:color w:val="000000"/>
              </w:rPr>
            </w:pPr>
            <w:r>
              <w:rPr>
                <w:color w:val="000000"/>
              </w:rPr>
              <w:t>Common PMI</w:t>
            </w:r>
          </w:p>
        </w:tc>
        <w:tc>
          <w:tcPr>
            <w:tcW w:w="2996" w:type="dxa"/>
            <w:tcBorders>
              <w:top w:val="single" w:color="4F81BD" w:sz="8" w:space="0"/>
              <w:left w:val="nil"/>
              <w:bottom w:val="single" w:color="4F81BD" w:sz="8" w:space="0"/>
              <w:right w:val="single" w:color="4F81BD" w:sz="8" w:space="0"/>
            </w:tcBorders>
            <w:shd w:val="clear" w:color="auto" w:fill="FFFFFF"/>
            <w:tcMar>
              <w:top w:w="15" w:type="dxa"/>
              <w:left w:w="15" w:type="dxa"/>
              <w:bottom w:w="0" w:type="dxa"/>
              <w:right w:w="15" w:type="dxa"/>
            </w:tcMar>
            <w:vAlign w:val="center"/>
          </w:tcPr>
          <w:p>
            <w:pPr>
              <w:spacing w:before="120" w:after="120"/>
              <w:jc w:val="center"/>
              <w:rPr>
                <w:color w:val="000000"/>
              </w:rPr>
            </w:pPr>
            <w:r>
              <w:rPr>
                <w:color w:val="000000"/>
              </w:rPr>
              <w:t>R*O*P+(L-1) *O*R*X</w:t>
            </w:r>
          </w:p>
        </w:tc>
        <w:tc>
          <w:tcPr>
            <w:tcW w:w="0" w:type="auto"/>
            <w:tcBorders>
              <w:top w:val="single" w:color="4F81BD" w:sz="8" w:space="0"/>
              <w:left w:val="nil"/>
              <w:bottom w:val="single" w:color="4F81BD" w:sz="8" w:space="0"/>
              <w:right w:val="single" w:color="4F81BD" w:sz="8" w:space="0"/>
            </w:tcBorders>
            <w:shd w:val="clear" w:color="auto" w:fill="FFFFFF"/>
            <w:tcMar>
              <w:top w:w="15" w:type="dxa"/>
              <w:left w:w="15" w:type="dxa"/>
              <w:bottom w:w="0" w:type="dxa"/>
              <w:right w:w="15" w:type="dxa"/>
            </w:tcMar>
            <w:vAlign w:val="center"/>
          </w:tcPr>
          <w:p>
            <w:pPr>
              <w:spacing w:before="120" w:after="120"/>
              <w:jc w:val="center"/>
              <w:rPr>
                <w:color w:val="000000"/>
              </w:rPr>
            </w:pPr>
            <w:r>
              <w:rPr>
                <w:color w:val="000000"/>
              </w:rPr>
              <w:t>(L-1) *O*R*(P-X)</w:t>
            </w:r>
          </w:p>
        </w:tc>
      </w:tr>
      <w:tr>
        <w:tblPrEx>
          <w:tblCellMar>
            <w:top w:w="0" w:type="dxa"/>
            <w:left w:w="0" w:type="dxa"/>
            <w:bottom w:w="0" w:type="dxa"/>
            <w:right w:w="0" w:type="dxa"/>
          </w:tblCellMar>
        </w:tblPrEx>
        <w:tc>
          <w:tcPr>
            <w:tcW w:w="3194" w:type="dxa"/>
            <w:tcBorders>
              <w:top w:val="single" w:color="4F81BD" w:sz="8" w:space="0"/>
              <w:left w:val="single" w:color="4F81BD" w:sz="8" w:space="0"/>
              <w:bottom w:val="single" w:color="4F81BD" w:sz="8" w:space="0"/>
              <w:right w:val="single" w:color="4F81BD" w:sz="8" w:space="0"/>
            </w:tcBorders>
            <w:shd w:val="clear" w:color="auto" w:fill="B8CCE4"/>
            <w:tcMar>
              <w:top w:w="15" w:type="dxa"/>
              <w:left w:w="15" w:type="dxa"/>
              <w:bottom w:w="0" w:type="dxa"/>
              <w:right w:w="15" w:type="dxa"/>
            </w:tcMar>
            <w:vAlign w:val="center"/>
          </w:tcPr>
          <w:p>
            <w:pPr>
              <w:spacing w:before="120" w:after="120"/>
              <w:jc w:val="center"/>
              <w:rPr>
                <w:color w:val="000000"/>
              </w:rPr>
            </w:pPr>
            <w:r>
              <w:rPr>
                <w:color w:val="000000"/>
              </w:rPr>
              <w:t>Differential RI</w:t>
            </w:r>
          </w:p>
        </w:tc>
        <w:tc>
          <w:tcPr>
            <w:tcW w:w="2996" w:type="dxa"/>
            <w:tcBorders>
              <w:top w:val="single" w:color="4F81BD" w:sz="8" w:space="0"/>
              <w:left w:val="nil"/>
              <w:bottom w:val="single" w:color="4F81BD" w:sz="8" w:space="0"/>
              <w:right w:val="single" w:color="4F81BD" w:sz="8" w:space="0"/>
            </w:tcBorders>
            <w:shd w:val="clear" w:color="auto" w:fill="B8CCE4"/>
            <w:tcMar>
              <w:top w:w="15" w:type="dxa"/>
              <w:left w:w="15" w:type="dxa"/>
              <w:bottom w:w="0" w:type="dxa"/>
              <w:right w:w="15" w:type="dxa"/>
            </w:tcMar>
            <w:vAlign w:val="center"/>
          </w:tcPr>
          <w:p>
            <w:pPr>
              <w:spacing w:before="120" w:after="120"/>
              <w:jc w:val="center"/>
              <w:rPr>
                <w:color w:val="000000"/>
              </w:rPr>
            </w:pPr>
            <w:r>
              <w:rPr>
                <w:color w:val="000000"/>
              </w:rPr>
              <w:t>R*O*P+(L-1) *O*2*P</w:t>
            </w:r>
          </w:p>
        </w:tc>
        <w:tc>
          <w:tcPr>
            <w:tcW w:w="0" w:type="auto"/>
            <w:tcBorders>
              <w:top w:val="single" w:color="4F81BD" w:sz="8" w:space="0"/>
              <w:left w:val="nil"/>
              <w:bottom w:val="single" w:color="4F81BD" w:sz="8" w:space="0"/>
              <w:right w:val="single" w:color="4F81BD" w:sz="8" w:space="0"/>
            </w:tcBorders>
            <w:shd w:val="clear" w:color="auto" w:fill="B8CCE4"/>
            <w:tcMar>
              <w:top w:w="15" w:type="dxa"/>
              <w:left w:w="15" w:type="dxa"/>
              <w:bottom w:w="0" w:type="dxa"/>
              <w:right w:w="15" w:type="dxa"/>
            </w:tcMar>
            <w:vAlign w:val="center"/>
          </w:tcPr>
          <w:p>
            <w:pPr>
              <w:spacing w:before="120" w:after="120"/>
              <w:jc w:val="center"/>
              <w:rPr>
                <w:color w:val="000000"/>
              </w:rPr>
            </w:pPr>
            <w:r>
              <w:rPr>
                <w:color w:val="000000"/>
              </w:rPr>
              <w:t>(L-1) *O*(R-2)*P</w:t>
            </w:r>
          </w:p>
        </w:tc>
      </w:tr>
      <w:tr>
        <w:tblPrEx>
          <w:tblCellMar>
            <w:top w:w="0" w:type="dxa"/>
            <w:left w:w="0" w:type="dxa"/>
            <w:bottom w:w="0" w:type="dxa"/>
            <w:right w:w="0" w:type="dxa"/>
          </w:tblCellMar>
        </w:tblPrEx>
        <w:tc>
          <w:tcPr>
            <w:tcW w:w="3194" w:type="dxa"/>
            <w:tcBorders>
              <w:top w:val="single" w:color="4F81BD" w:sz="8" w:space="0"/>
              <w:left w:val="single" w:color="4F81BD" w:sz="8" w:space="0"/>
              <w:bottom w:val="single" w:color="4F81BD" w:sz="8" w:space="0"/>
              <w:right w:val="single" w:color="4F81BD" w:sz="8" w:space="0"/>
            </w:tcBorders>
            <w:shd w:val="clear" w:color="auto" w:fill="FFFFFF"/>
            <w:tcMar>
              <w:top w:w="15" w:type="dxa"/>
              <w:left w:w="15" w:type="dxa"/>
              <w:bottom w:w="0" w:type="dxa"/>
              <w:right w:w="15" w:type="dxa"/>
            </w:tcMar>
            <w:vAlign w:val="center"/>
          </w:tcPr>
          <w:p>
            <w:pPr>
              <w:spacing w:before="120" w:after="120"/>
              <w:jc w:val="center"/>
              <w:rPr>
                <w:color w:val="000000"/>
              </w:rPr>
            </w:pPr>
            <w:r>
              <w:rPr>
                <w:color w:val="000000"/>
              </w:rPr>
              <w:t>Common CRI</w:t>
            </w:r>
          </w:p>
        </w:tc>
        <w:tc>
          <w:tcPr>
            <w:tcW w:w="2996" w:type="dxa"/>
            <w:tcBorders>
              <w:top w:val="single" w:color="4F81BD" w:sz="8" w:space="0"/>
              <w:left w:val="nil"/>
              <w:bottom w:val="single" w:color="4F81BD" w:sz="8" w:space="0"/>
              <w:right w:val="single" w:color="4F81BD" w:sz="8" w:space="0"/>
            </w:tcBorders>
            <w:shd w:val="clear" w:color="auto" w:fill="FFFFFF"/>
            <w:tcMar>
              <w:top w:w="15" w:type="dxa"/>
              <w:left w:w="15" w:type="dxa"/>
              <w:bottom w:w="0" w:type="dxa"/>
              <w:right w:w="15" w:type="dxa"/>
            </w:tcMar>
            <w:vAlign w:val="center"/>
          </w:tcPr>
          <w:p>
            <w:pPr>
              <w:spacing w:before="120" w:after="120"/>
              <w:jc w:val="center"/>
              <w:rPr>
                <w:color w:val="000000"/>
              </w:rPr>
            </w:pPr>
            <w:r>
              <w:rPr>
                <w:color w:val="000000"/>
              </w:rPr>
              <w:t>O*R*P+(L-1) *R*P</w:t>
            </w:r>
          </w:p>
        </w:tc>
        <w:tc>
          <w:tcPr>
            <w:tcW w:w="0" w:type="auto"/>
            <w:tcBorders>
              <w:top w:val="single" w:color="4F81BD" w:sz="8" w:space="0"/>
              <w:left w:val="nil"/>
              <w:bottom w:val="single" w:color="4F81BD" w:sz="8" w:space="0"/>
              <w:right w:val="single" w:color="4F81BD" w:sz="8" w:space="0"/>
            </w:tcBorders>
            <w:shd w:val="clear" w:color="auto" w:fill="FFFFFF"/>
            <w:tcMar>
              <w:top w:w="15" w:type="dxa"/>
              <w:left w:w="15" w:type="dxa"/>
              <w:bottom w:w="0" w:type="dxa"/>
              <w:right w:w="15" w:type="dxa"/>
            </w:tcMar>
            <w:vAlign w:val="center"/>
          </w:tcPr>
          <w:p>
            <w:pPr>
              <w:spacing w:before="120" w:after="120"/>
              <w:jc w:val="center"/>
              <w:rPr>
                <w:color w:val="000000"/>
              </w:rPr>
            </w:pPr>
            <w:r>
              <w:rPr>
                <w:color w:val="000000"/>
              </w:rPr>
              <w:t>(L-1) *(O-1) *R*P</w:t>
            </w:r>
          </w:p>
        </w:tc>
      </w:tr>
      <w:tr>
        <w:tblPrEx>
          <w:tblCellMar>
            <w:top w:w="0" w:type="dxa"/>
            <w:left w:w="0" w:type="dxa"/>
            <w:bottom w:w="0" w:type="dxa"/>
            <w:right w:w="0" w:type="dxa"/>
          </w:tblCellMar>
        </w:tblPrEx>
        <w:tc>
          <w:tcPr>
            <w:tcW w:w="3194" w:type="dxa"/>
            <w:tcBorders>
              <w:top w:val="single" w:color="4F81BD" w:sz="8" w:space="0"/>
              <w:left w:val="single" w:color="4F81BD" w:sz="8" w:space="0"/>
              <w:bottom w:val="single" w:color="4F81BD" w:sz="8" w:space="0"/>
              <w:right w:val="single" w:color="4F81BD" w:sz="8" w:space="0"/>
            </w:tcBorders>
            <w:shd w:val="clear" w:color="auto" w:fill="B8CCE4"/>
            <w:tcMar>
              <w:top w:w="15" w:type="dxa"/>
              <w:left w:w="15" w:type="dxa"/>
              <w:bottom w:w="0" w:type="dxa"/>
              <w:right w:w="15" w:type="dxa"/>
            </w:tcMar>
            <w:vAlign w:val="center"/>
          </w:tcPr>
          <w:p>
            <w:pPr>
              <w:spacing w:before="120" w:after="120"/>
              <w:jc w:val="center"/>
              <w:rPr>
                <w:color w:val="000000"/>
              </w:rPr>
            </w:pPr>
            <w:r>
              <w:rPr>
                <w:color w:val="000000"/>
              </w:rPr>
              <w:t>Common PMI + differential RI</w:t>
            </w:r>
          </w:p>
        </w:tc>
        <w:tc>
          <w:tcPr>
            <w:tcW w:w="2996" w:type="dxa"/>
            <w:tcBorders>
              <w:top w:val="single" w:color="4F81BD" w:sz="8" w:space="0"/>
              <w:left w:val="nil"/>
              <w:bottom w:val="single" w:color="4F81BD" w:sz="8" w:space="0"/>
              <w:right w:val="single" w:color="4F81BD" w:sz="8" w:space="0"/>
            </w:tcBorders>
            <w:shd w:val="clear" w:color="auto" w:fill="B8CCE4"/>
            <w:tcMar>
              <w:top w:w="15" w:type="dxa"/>
              <w:left w:w="15" w:type="dxa"/>
              <w:bottom w:w="0" w:type="dxa"/>
              <w:right w:w="15" w:type="dxa"/>
            </w:tcMar>
            <w:vAlign w:val="center"/>
          </w:tcPr>
          <w:p>
            <w:pPr>
              <w:spacing w:before="120" w:after="120"/>
              <w:jc w:val="center"/>
              <w:rPr>
                <w:color w:val="000000"/>
              </w:rPr>
            </w:pPr>
            <w:r>
              <w:rPr>
                <w:color w:val="000000"/>
              </w:rPr>
              <w:t>R*O*P+(L-1) *O*2*X</w:t>
            </w:r>
          </w:p>
        </w:tc>
        <w:tc>
          <w:tcPr>
            <w:tcW w:w="0" w:type="auto"/>
            <w:tcBorders>
              <w:top w:val="single" w:color="4F81BD" w:sz="8" w:space="0"/>
              <w:left w:val="nil"/>
              <w:bottom w:val="single" w:color="4F81BD" w:sz="8" w:space="0"/>
              <w:right w:val="single" w:color="4F81BD" w:sz="8" w:space="0"/>
            </w:tcBorders>
            <w:shd w:val="clear" w:color="auto" w:fill="B8CCE4"/>
            <w:tcMar>
              <w:top w:w="15" w:type="dxa"/>
              <w:left w:w="15" w:type="dxa"/>
              <w:bottom w:w="0" w:type="dxa"/>
              <w:right w:w="15" w:type="dxa"/>
            </w:tcMar>
            <w:vAlign w:val="center"/>
          </w:tcPr>
          <w:p>
            <w:pPr>
              <w:spacing w:before="120" w:after="120"/>
              <w:jc w:val="center"/>
              <w:rPr>
                <w:color w:val="000000"/>
              </w:rPr>
            </w:pPr>
            <w:r>
              <w:rPr>
                <w:color w:val="000000"/>
              </w:rPr>
              <w:t>(L-1) *O*(2*(P-X) + (R-2) *P)</w:t>
            </w:r>
          </w:p>
        </w:tc>
      </w:tr>
      <w:tr>
        <w:tblPrEx>
          <w:tblCellMar>
            <w:top w:w="0" w:type="dxa"/>
            <w:left w:w="0" w:type="dxa"/>
            <w:bottom w:w="0" w:type="dxa"/>
            <w:right w:w="0" w:type="dxa"/>
          </w:tblCellMar>
        </w:tblPrEx>
        <w:tc>
          <w:tcPr>
            <w:tcW w:w="3194" w:type="dxa"/>
            <w:tcBorders>
              <w:top w:val="single" w:color="4F81BD" w:sz="8" w:space="0"/>
              <w:left w:val="single" w:color="4F81BD" w:sz="8" w:space="0"/>
              <w:bottom w:val="single" w:color="4F81BD" w:sz="8" w:space="0"/>
              <w:right w:val="single" w:color="4F81BD" w:sz="8" w:space="0"/>
            </w:tcBorders>
            <w:shd w:val="clear" w:color="auto" w:fill="FFFFFF"/>
            <w:tcMar>
              <w:top w:w="15" w:type="dxa"/>
              <w:left w:w="15" w:type="dxa"/>
              <w:bottom w:w="0" w:type="dxa"/>
              <w:right w:w="15" w:type="dxa"/>
            </w:tcMar>
            <w:vAlign w:val="center"/>
          </w:tcPr>
          <w:p>
            <w:pPr>
              <w:spacing w:before="120" w:after="120"/>
              <w:jc w:val="center"/>
              <w:rPr>
                <w:color w:val="000000"/>
              </w:rPr>
            </w:pPr>
            <w:r>
              <w:rPr>
                <w:color w:val="000000"/>
              </w:rPr>
              <w:t>Common PMI+ differential RI + common CRI</w:t>
            </w:r>
          </w:p>
        </w:tc>
        <w:tc>
          <w:tcPr>
            <w:tcW w:w="2996" w:type="dxa"/>
            <w:tcBorders>
              <w:top w:val="single" w:color="4F81BD" w:sz="8" w:space="0"/>
              <w:left w:val="nil"/>
              <w:bottom w:val="single" w:color="4F81BD" w:sz="8" w:space="0"/>
              <w:right w:val="single" w:color="4F81BD" w:sz="8" w:space="0"/>
            </w:tcBorders>
            <w:shd w:val="clear" w:color="auto" w:fill="FFFFFF"/>
            <w:tcMar>
              <w:top w:w="15" w:type="dxa"/>
              <w:left w:w="15" w:type="dxa"/>
              <w:bottom w:w="0" w:type="dxa"/>
              <w:right w:w="15" w:type="dxa"/>
            </w:tcMar>
            <w:vAlign w:val="center"/>
          </w:tcPr>
          <w:p>
            <w:pPr>
              <w:spacing w:before="120" w:after="120"/>
              <w:jc w:val="center"/>
              <w:rPr>
                <w:color w:val="000000"/>
              </w:rPr>
            </w:pPr>
            <w:r>
              <w:rPr>
                <w:color w:val="000000"/>
              </w:rPr>
              <w:t>R*O*P+(L-1) *2*X</w:t>
            </w:r>
          </w:p>
        </w:tc>
        <w:tc>
          <w:tcPr>
            <w:tcW w:w="0" w:type="auto"/>
            <w:tcBorders>
              <w:top w:val="single" w:color="4F81BD" w:sz="8" w:space="0"/>
              <w:left w:val="nil"/>
              <w:bottom w:val="single" w:color="4F81BD" w:sz="8" w:space="0"/>
              <w:right w:val="single" w:color="4F81BD" w:sz="8" w:space="0"/>
            </w:tcBorders>
            <w:shd w:val="clear" w:color="auto" w:fill="FFFFFF"/>
            <w:tcMar>
              <w:top w:w="15" w:type="dxa"/>
              <w:left w:w="15" w:type="dxa"/>
              <w:bottom w:w="0" w:type="dxa"/>
              <w:right w:w="15" w:type="dxa"/>
            </w:tcMar>
            <w:vAlign w:val="center"/>
          </w:tcPr>
          <w:p>
            <w:pPr>
              <w:spacing w:before="120" w:after="120"/>
              <w:jc w:val="center"/>
              <w:rPr>
                <w:color w:val="000000"/>
              </w:rPr>
            </w:pPr>
            <w:r>
              <w:rPr>
                <w:color w:val="000000"/>
              </w:rPr>
              <w:t>L*O*R*P-(R*O*P+(L-1) *2*X)</w:t>
            </w:r>
          </w:p>
        </w:tc>
      </w:tr>
    </w:tbl>
    <w:p>
      <w:pPr>
        <w:spacing w:before="120" w:after="120"/>
        <w:rPr>
          <w:rFonts w:hint="eastAsia"/>
        </w:rPr>
      </w:pPr>
    </w:p>
    <w:p>
      <w:pPr>
        <w:pStyle w:val="30"/>
        <w:spacing w:before="120" w:after="120"/>
        <w:rPr>
          <w:lang w:val="en-US" w:eastAsia="zh-CN"/>
        </w:rPr>
      </w:pPr>
      <w:bookmarkStart w:id="152" w:name="_Toc25240"/>
      <w:bookmarkStart w:id="153" w:name="_Toc30672"/>
      <w:bookmarkStart w:id="154" w:name="_Toc848"/>
      <w:r>
        <w:rPr>
          <w:rFonts w:hint="eastAsia"/>
          <w:lang w:val="en-US" w:eastAsia="zh-CN"/>
        </w:rPr>
        <w:t>If common CRI, differential RI, common PMI are used, the UE complexity can be reduced.</w:t>
      </w:r>
      <w:bookmarkEnd w:id="152"/>
      <w:bookmarkEnd w:id="153"/>
      <w:bookmarkEnd w:id="154"/>
    </w:p>
    <w:p>
      <w:pPr>
        <w:spacing w:before="120" w:after="120"/>
      </w:pPr>
      <w:r>
        <w:rPr>
          <w:rFonts w:hint="eastAsia"/>
        </w:rPr>
        <w:t xml:space="preserve">The UE complexity affects the number of CPUs occupied by the CSI report. Hence, when the UE complexity reduced, the occupied CPU number will also </w:t>
      </w:r>
      <w:r>
        <w:t xml:space="preserve">be </w:t>
      </w:r>
      <w:r>
        <w:rPr>
          <w:rFonts w:hint="eastAsia"/>
        </w:rPr>
        <w:t>reduced. Thus</w:t>
      </w:r>
      <w:r>
        <w:t>,</w:t>
      </w:r>
      <w:r>
        <w:rPr>
          <w:rFonts w:hint="eastAsia"/>
        </w:rPr>
        <w:t xml:space="preserve"> a scaling factor which is less than 1 can be considered. The value of scaling factor</w:t>
      </w:r>
      <w:r>
        <w:t>s</w:t>
      </w:r>
      <w:r>
        <w:rPr>
          <w:rFonts w:hint="eastAsia"/>
        </w:rPr>
        <w:t xml:space="preserve"> can be </w:t>
      </w:r>
      <w:r>
        <w:t>reported in</w:t>
      </w:r>
      <w:r>
        <w:rPr>
          <w:rFonts w:hint="eastAsia"/>
        </w:rPr>
        <w:t xml:space="preserve"> UE capability.</w:t>
      </w:r>
    </w:p>
    <w:p>
      <w:pPr>
        <w:pStyle w:val="3"/>
        <w:numPr>
          <w:ilvl w:val="1"/>
          <w:numId w:val="10"/>
        </w:numPr>
        <w:spacing w:before="120" w:after="120"/>
        <w:ind w:right="210"/>
        <w:rPr>
          <w:rFonts w:ascii="Times New Roman" w:hAnsi="Times New Roman" w:eastAsia="宋体"/>
          <w:b/>
          <w:bCs/>
          <w:sz w:val="21"/>
          <w:szCs w:val="21"/>
        </w:rPr>
      </w:pPr>
      <w:r>
        <w:rPr>
          <w:rFonts w:ascii="Times New Roman" w:hAnsi="Times New Roman" w:eastAsia="宋体"/>
          <w:b/>
          <w:bCs/>
          <w:sz w:val="21"/>
          <w:szCs w:val="21"/>
        </w:rPr>
        <w:t>Selection of N sub-configurations</w:t>
      </w:r>
    </w:p>
    <w:p>
      <w:pPr>
        <w:spacing w:before="120" w:after="120"/>
      </w:pPr>
      <w:r>
        <w:rPr>
          <w:rFonts w:hint="eastAsia"/>
        </w:rPr>
        <w:t xml:space="preserve">In RAN1#112bis meeting, </w:t>
      </w:r>
      <w:r>
        <w:t xml:space="preserve">it was discussed whether and how to select N sub-configurations out of L sub-configurations in CSI report configurations. </w:t>
      </w:r>
    </w:p>
    <w:p>
      <w:pPr>
        <w:spacing w:before="120" w:after="120"/>
      </w:pPr>
      <w:r>
        <w:t>If t</w:t>
      </w:r>
      <w:r>
        <w:rPr>
          <w:rFonts w:hint="eastAsia"/>
        </w:rPr>
        <w:t xml:space="preserve">he CSI-RS resource and CSI report configuration </w:t>
      </w:r>
      <w:r>
        <w:t xml:space="preserve">can be only </w:t>
      </w:r>
      <w:r>
        <w:rPr>
          <w:rFonts w:hint="eastAsia"/>
        </w:rPr>
        <w:t xml:space="preserve">triggered or activated by RRC signaling, UE </w:t>
      </w:r>
      <w:r>
        <w:t xml:space="preserve">always </w:t>
      </w:r>
      <w:r>
        <w:rPr>
          <w:rFonts w:hint="eastAsia"/>
        </w:rPr>
        <w:t xml:space="preserve">needs to report </w:t>
      </w:r>
      <w:r>
        <w:t xml:space="preserve">all the triggered </w:t>
      </w:r>
      <w:r>
        <w:rPr>
          <w:rFonts w:hint="eastAsia"/>
        </w:rPr>
        <w:t>CSI regardless of channel quality</w:t>
      </w:r>
      <w:r>
        <w:t xml:space="preserve"> and data traffic</w:t>
      </w:r>
      <w:r>
        <w:rPr>
          <w:rFonts w:hint="eastAsia"/>
        </w:rPr>
        <w:t>. In some cases, the required CSI reports can be different in different time</w:t>
      </w:r>
      <w:r>
        <w:t xml:space="preserve"> pe</w:t>
      </w:r>
      <w:r>
        <w:rPr>
          <w:rFonts w:hint="eastAsia"/>
        </w:rPr>
        <w:t>r</w:t>
      </w:r>
      <w:r>
        <w:t>iod</w:t>
      </w:r>
      <w:r>
        <w:rPr>
          <w:rFonts w:hint="eastAsia"/>
        </w:rPr>
        <w:t xml:space="preserve">, and semi static configuration </w:t>
      </w:r>
      <w:r>
        <w:t xml:space="preserve">may </w:t>
      </w:r>
      <w:r>
        <w:rPr>
          <w:rFonts w:hint="eastAsia"/>
        </w:rPr>
        <w:t>not satisfy the requirement in time</w:t>
      </w:r>
      <w:r>
        <w:t xml:space="preserve"> </w:t>
      </w:r>
      <w:r>
        <w:rPr>
          <w:rFonts w:hint="eastAsia"/>
        </w:rPr>
        <w:t>t. To better adapt</w:t>
      </w:r>
      <w:r>
        <w:t xml:space="preserve"> to</w:t>
      </w:r>
      <w:r>
        <w:rPr>
          <w:rFonts w:hint="eastAsia"/>
        </w:rPr>
        <w:t xml:space="preserve"> channel states, dynamic indicat</w:t>
      </w:r>
      <w:r>
        <w:t>ion of</w:t>
      </w:r>
      <w:r>
        <w:rPr>
          <w:rFonts w:hint="eastAsia"/>
        </w:rPr>
        <w:t xml:space="preserve"> which CSIs need to be reported can be considered.</w:t>
      </w:r>
    </w:p>
    <w:p>
      <w:pPr>
        <w:pStyle w:val="31"/>
        <w:spacing w:before="120" w:after="120"/>
        <w:rPr>
          <w:lang w:val="en-US" w:eastAsia="zh-CN"/>
        </w:rPr>
      </w:pPr>
      <w:bookmarkStart w:id="155" w:name="_Toc131790361"/>
      <w:bookmarkStart w:id="156" w:name="_Toc25177"/>
      <w:bookmarkStart w:id="157" w:name="_Toc12166"/>
      <w:bookmarkStart w:id="158" w:name="_Toc22366"/>
      <w:bookmarkStart w:id="159" w:name="_Toc3251"/>
      <w:bookmarkStart w:id="160" w:name="_Toc216"/>
      <w:bookmarkStart w:id="161" w:name="_Toc25658"/>
      <w:bookmarkStart w:id="162" w:name="_Toc17901"/>
      <w:bookmarkStart w:id="163" w:name="_Toc26351"/>
      <w:r>
        <w:rPr>
          <w:rFonts w:hint="eastAsia"/>
          <w:lang w:val="en-US" w:eastAsia="zh-CN"/>
        </w:rPr>
        <w:t xml:space="preserve">To better adapt </w:t>
      </w:r>
      <w:r>
        <w:rPr>
          <w:lang w:val="en-US" w:eastAsia="zh-CN"/>
        </w:rPr>
        <w:t>to</w:t>
      </w:r>
      <w:r>
        <w:rPr>
          <w:rFonts w:hint="eastAsia"/>
          <w:lang w:val="en-US" w:eastAsia="zh-CN"/>
        </w:rPr>
        <w:t xml:space="preserve"> </w:t>
      </w:r>
      <w:r>
        <w:rPr>
          <w:lang w:val="en-US" w:eastAsia="zh-CN"/>
        </w:rPr>
        <w:t>CSI</w:t>
      </w:r>
      <w:r>
        <w:rPr>
          <w:rFonts w:hint="eastAsia"/>
          <w:lang w:val="en-US" w:eastAsia="zh-CN"/>
        </w:rPr>
        <w:t xml:space="preserve"> reporting</w:t>
      </w:r>
      <w:r>
        <w:rPr>
          <w:lang w:val="en-US" w:eastAsia="zh-CN"/>
        </w:rPr>
        <w:t xml:space="preserve"> requirements</w:t>
      </w:r>
      <w:r>
        <w:rPr>
          <w:rFonts w:hint="eastAsia"/>
          <w:lang w:val="en-US" w:eastAsia="zh-CN"/>
        </w:rPr>
        <w:t>, dynamic indicat</w:t>
      </w:r>
      <w:r>
        <w:rPr>
          <w:lang w:val="en-US" w:eastAsia="zh-CN"/>
        </w:rPr>
        <w:t>ion of</w:t>
      </w:r>
      <w:r>
        <w:rPr>
          <w:rFonts w:hint="eastAsia"/>
          <w:lang w:val="en-US" w:eastAsia="zh-CN"/>
        </w:rPr>
        <w:t xml:space="preserve"> N </w:t>
      </w:r>
      <w:r>
        <w:rPr>
          <w:lang w:val="en-US" w:eastAsia="zh-CN"/>
        </w:rPr>
        <w:t>≤</w:t>
      </w:r>
      <w:r>
        <w:rPr>
          <w:rFonts w:hint="eastAsia"/>
          <w:lang w:val="en-US" w:eastAsia="zh-CN"/>
        </w:rPr>
        <w:t xml:space="preserve"> L CSIs can be considered.</w:t>
      </w:r>
      <w:bookmarkEnd w:id="155"/>
      <w:bookmarkEnd w:id="156"/>
    </w:p>
    <w:p>
      <w:pPr>
        <w:spacing w:before="120" w:after="120"/>
      </w:pPr>
      <w:r>
        <w:rPr>
          <w:rFonts w:hint="eastAsia"/>
        </w:rPr>
        <w:t xml:space="preserve">However, the overhead of the </w:t>
      </w:r>
      <w:r>
        <w:t>dynamic indication</w:t>
      </w:r>
      <w:r>
        <w:rPr>
          <w:rFonts w:hint="eastAsia"/>
        </w:rPr>
        <w:t xml:space="preserve"> should be considered. One way to reduce the overhead is that gNB configures multiple sub-configuration candidates by RRC signaling, and uses L1 signaling to select one or more </w:t>
      </w:r>
      <w:r>
        <w:t xml:space="preserve">candidates </w:t>
      </w:r>
      <w:r>
        <w:rPr>
          <w:rFonts w:hint="eastAsia"/>
        </w:rPr>
        <w:t xml:space="preserve">from </w:t>
      </w:r>
      <w:r>
        <w:t>RRC configuration</w:t>
      </w:r>
      <w:r>
        <w:rPr>
          <w:rFonts w:hint="eastAsia"/>
        </w:rPr>
        <w:t xml:space="preserve">. </w:t>
      </w:r>
    </w:p>
    <w:p>
      <w:pPr>
        <w:pStyle w:val="31"/>
        <w:spacing w:before="120" w:after="120"/>
        <w:rPr>
          <w:lang w:val="en-US" w:eastAsia="zh-CN"/>
        </w:rPr>
      </w:pPr>
      <w:bookmarkStart w:id="164" w:name="_Toc7987"/>
      <w:r>
        <w:rPr>
          <w:rFonts w:hint="eastAsia"/>
          <w:lang w:val="en-US" w:eastAsia="zh-CN"/>
        </w:rPr>
        <w:t xml:space="preserve">gNB </w:t>
      </w:r>
      <w:r>
        <w:rPr>
          <w:lang w:val="en-US" w:eastAsia="zh-CN"/>
        </w:rPr>
        <w:t xml:space="preserve">can </w:t>
      </w:r>
      <w:r>
        <w:rPr>
          <w:rFonts w:hint="eastAsia"/>
          <w:lang w:val="en-US" w:eastAsia="zh-CN"/>
        </w:rPr>
        <w:t>configure multiple sub-configuration</w:t>
      </w:r>
      <w:r>
        <w:rPr>
          <w:lang w:val="en-US" w:eastAsia="zh-CN"/>
        </w:rPr>
        <w:t xml:space="preserve">s </w:t>
      </w:r>
      <w:r>
        <w:rPr>
          <w:rFonts w:hint="eastAsia"/>
          <w:lang w:val="en-US" w:eastAsia="zh-CN"/>
        </w:rPr>
        <w:t>(</w:t>
      </w:r>
      <w:r>
        <w:rPr>
          <w:lang w:val="en-US" w:eastAsia="zh-CN"/>
        </w:rPr>
        <w:t>e</w:t>
      </w:r>
      <w:r>
        <w:rPr>
          <w:rFonts w:hint="eastAsia"/>
          <w:lang w:val="en-US" w:eastAsia="zh-CN"/>
        </w:rPr>
        <w:t>.</w:t>
      </w:r>
      <w:r>
        <w:rPr>
          <w:lang w:val="en-US" w:eastAsia="zh-CN"/>
        </w:rPr>
        <w:t>g</w:t>
      </w:r>
      <w:r>
        <w:rPr>
          <w:rFonts w:hint="eastAsia"/>
          <w:lang w:val="en-US" w:eastAsia="zh-CN"/>
        </w:rPr>
        <w:t xml:space="preserve">., port subset indication) candidates by RRC signaling, and use L1 signaling to select one or more </w:t>
      </w:r>
      <w:r>
        <w:rPr>
          <w:lang w:val="en-US" w:eastAsia="zh-CN"/>
        </w:rPr>
        <w:t xml:space="preserve">candidates </w:t>
      </w:r>
      <w:r>
        <w:rPr>
          <w:rFonts w:hint="eastAsia"/>
          <w:lang w:val="en-US" w:eastAsia="zh-CN"/>
        </w:rPr>
        <w:t xml:space="preserve">from </w:t>
      </w:r>
      <w:r>
        <w:rPr>
          <w:lang w:val="en-US" w:eastAsia="zh-CN"/>
        </w:rPr>
        <w:t>RRC configuration</w:t>
      </w:r>
      <w:r>
        <w:rPr>
          <w:rFonts w:hint="eastAsia"/>
          <w:lang w:val="en-US" w:eastAsia="zh-CN"/>
        </w:rPr>
        <w:t>.</w:t>
      </w:r>
      <w:bookmarkEnd w:id="164"/>
    </w:p>
    <w:bookmarkEnd w:id="157"/>
    <w:bookmarkEnd w:id="158"/>
    <w:bookmarkEnd w:id="159"/>
    <w:bookmarkEnd w:id="160"/>
    <w:bookmarkEnd w:id="161"/>
    <w:bookmarkEnd w:id="162"/>
    <w:bookmarkEnd w:id="163"/>
    <w:p>
      <w:pPr>
        <w:spacing w:before="120" w:after="120"/>
      </w:pPr>
      <w:r>
        <w:rPr>
          <w:rFonts w:hint="eastAsia"/>
        </w:rPr>
        <w:t>A CSI report can be periodic, semi-persistent, or aperiodic CSI reporting. For semi-persistent/Aperiodic CSI reporting, the following was agree</w:t>
      </w:r>
      <w:r>
        <w:t>d</w:t>
      </w:r>
      <w:r>
        <w:rPr>
          <w:rFonts w:hint="eastAsia"/>
        </w:rPr>
        <w:t>.</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spacing w:before="120" w:after="120"/>
              <w:rPr>
                <w:rFonts w:eastAsia="等线"/>
                <w:bCs/>
                <w:szCs w:val="21"/>
                <w:highlight w:val="green"/>
                <w:lang w:eastAsia="en-GB"/>
              </w:rPr>
            </w:pPr>
            <w:r>
              <w:rPr>
                <w:bCs/>
                <w:szCs w:val="21"/>
                <w:highlight w:val="green"/>
                <w:lang w:eastAsia="en-GB"/>
              </w:rPr>
              <w:t>Agreement</w:t>
            </w:r>
          </w:p>
          <w:p>
            <w:pPr>
              <w:spacing w:before="120" w:after="120"/>
              <w:rPr>
                <w:b/>
                <w:bCs/>
                <w:szCs w:val="21"/>
              </w:rPr>
            </w:pPr>
            <w:r>
              <w:rPr>
                <w:szCs w:val="21"/>
              </w:rPr>
              <w:t xml:space="preserve">For Semi-persistent/Aperiodic CSI reporting with </w:t>
            </w:r>
            <m:oMath>
              <m:r>
                <m:rPr>
                  <m:sty m:val="p"/>
                </m:rPr>
                <w:rPr>
                  <w:rFonts w:ascii="Cambria Math" w:hAnsi="Cambria Math"/>
                  <w:szCs w:val="21"/>
                </w:rPr>
                <m:t>1≤</m:t>
              </m:r>
              <m:r>
                <w:rPr>
                  <w:rFonts w:ascii="Cambria Math" w:hAnsi="Cambria Math"/>
                  <w:szCs w:val="21"/>
                </w:rPr>
                <m:t>N</m:t>
              </m:r>
              <m:r>
                <m:rPr>
                  <m:sty m:val="p"/>
                </m:rPr>
                <w:rPr>
                  <w:rFonts w:ascii="Cambria Math" w:hAnsi="Cambria Math"/>
                  <w:szCs w:val="21"/>
                </w:rPr>
                <m:t>≤</m:t>
              </m:r>
              <m:r>
                <w:rPr>
                  <w:rFonts w:ascii="Cambria Math" w:hAnsi="Cambria Math"/>
                  <w:szCs w:val="21"/>
                </w:rPr>
                <m:t>L</m:t>
              </m:r>
            </m:oMath>
            <w:r>
              <w:rPr>
                <w:szCs w:val="21"/>
              </w:rPr>
              <w:t>, study what enhancements to the current DCI and MAC-CE mechanisms are needed for gNB triggering/indication/activation of the N CSI(s) in a reporting instance, where the N CSI(s) are associated with N sub-configuration(s) from L in a report config.</w:t>
            </w:r>
          </w:p>
        </w:tc>
      </w:tr>
    </w:tbl>
    <w:p>
      <w:pPr>
        <w:numPr>
          <w:ilvl w:val="0"/>
          <w:numId w:val="25"/>
        </w:numPr>
        <w:spacing w:before="120" w:after="120"/>
        <w:rPr>
          <w:b/>
          <w:bCs/>
        </w:rPr>
      </w:pPr>
      <w:r>
        <w:rPr>
          <w:rFonts w:hint="eastAsia"/>
          <w:b/>
          <w:bCs/>
        </w:rPr>
        <w:t>Aperiodic CSI</w:t>
      </w:r>
    </w:p>
    <w:p>
      <w:pPr>
        <w:spacing w:before="120" w:after="120"/>
      </w:pPr>
      <w:r>
        <w:rPr>
          <w:rFonts w:hint="eastAsia"/>
        </w:rPr>
        <w:t xml:space="preserve">Aperiodic CSI report can be triggered by DCI format 0-1 or DCI format 0-2. A </w:t>
      </w:r>
      <w:r>
        <w:t>‘</w:t>
      </w:r>
      <w:r>
        <w:rPr>
          <w:rFonts w:hint="eastAsia"/>
        </w:rPr>
        <w:t>CSI request</w:t>
      </w:r>
      <w:r>
        <w:t>’</w:t>
      </w:r>
      <w:r>
        <w:rPr>
          <w:rFonts w:hint="eastAsia"/>
        </w:rPr>
        <w:t xml:space="preserve"> field is used to indicate one trigger state. Each trigger state associates with one or more CSI-ReportConfigId(s) and corresponding resource set(s) as shown </w:t>
      </w:r>
      <w:r>
        <w:t>in the following</w:t>
      </w:r>
      <w:r>
        <w:rPr>
          <w:rFonts w:hint="eastAsia"/>
        </w:rPr>
        <w:t xml:space="preserve">. </w:t>
      </w:r>
    </w:p>
    <w:p>
      <w:pPr>
        <w:spacing w:before="120" w:after="120"/>
        <w:jc w:val="center"/>
      </w:pPr>
      <w:r>
        <w:drawing>
          <wp:inline distT="0" distB="0" distL="114300" distR="114300">
            <wp:extent cx="3312160" cy="1075690"/>
            <wp:effectExtent l="0" t="0" r="10160" b="6350"/>
            <wp:docPr id="17"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56"/>
                    <pic:cNvPicPr>
                      <a:picLocks noChangeAspect="1"/>
                    </pic:cNvPicPr>
                  </pic:nvPicPr>
                  <pic:blipFill>
                    <a:blip r:embed="rId99"/>
                    <a:stretch>
                      <a:fillRect/>
                    </a:stretch>
                  </pic:blipFill>
                  <pic:spPr>
                    <a:xfrm>
                      <a:off x="0" y="0"/>
                      <a:ext cx="3312160" cy="1075690"/>
                    </a:xfrm>
                    <a:prstGeom prst="rect">
                      <a:avLst/>
                    </a:prstGeom>
                    <a:noFill/>
                    <a:ln>
                      <a:noFill/>
                    </a:ln>
                  </pic:spPr>
                </pic:pic>
              </a:graphicData>
            </a:graphic>
          </wp:inline>
        </w:drawing>
      </w:r>
    </w:p>
    <w:p>
      <w:pPr>
        <w:pStyle w:val="59"/>
        <w:spacing w:before="120" w:after="120"/>
        <w:rPr>
          <w:rFonts w:hint="default"/>
        </w:rPr>
      </w:pPr>
      <w:r>
        <w:t>Aperiodic CSI report</w:t>
      </w:r>
    </w:p>
    <w:p>
      <w:pPr>
        <w:spacing w:before="120" w:after="120"/>
      </w:pPr>
      <w:r>
        <w:rPr>
          <w:rFonts w:hint="eastAsia"/>
        </w:rPr>
        <w:t>If current DCI is reused to indicate/trigger/activate N CSIs from L sub-configurations in a report configuration, two methods can be considered.</w:t>
      </w:r>
    </w:p>
    <w:p>
      <w:pPr>
        <w:spacing w:before="120" w:after="120"/>
      </w:pPr>
      <w:r>
        <w:t>Solution</w:t>
      </w:r>
      <w:r>
        <w:rPr>
          <w:rFonts w:hint="eastAsia"/>
        </w:rPr>
        <w:t>#</w:t>
      </w:r>
      <w:r>
        <w:t>AP-</w:t>
      </w:r>
      <w:r>
        <w:rPr>
          <w:rFonts w:hint="eastAsia"/>
        </w:rPr>
        <w:t xml:space="preserve">1: Each trigger state associates with one or more sub-configurations. If the trigger state is </w:t>
      </w:r>
      <w:r>
        <w:t>indicated in DCI</w:t>
      </w:r>
      <w:r>
        <w:rPr>
          <w:rFonts w:hint="eastAsia"/>
        </w:rPr>
        <w:t>, corresponding sub-configurations are triggered. UE reports CSIs according to the triggered sub-configurations.</w:t>
      </w:r>
    </w:p>
    <w:p>
      <w:pPr>
        <w:spacing w:before="120" w:after="120"/>
      </w:pPr>
      <w:r>
        <w:t>Solution</w:t>
      </w:r>
      <w:r>
        <w:rPr>
          <w:rFonts w:hint="eastAsia"/>
        </w:rPr>
        <w:t>#</w:t>
      </w:r>
      <w:r>
        <w:t xml:space="preserve"> AP-</w:t>
      </w:r>
      <w:r>
        <w:rPr>
          <w:rFonts w:hint="eastAsia"/>
        </w:rPr>
        <w:t>2: Add a new field</w:t>
      </w:r>
      <w:r>
        <w:t xml:space="preserve"> in DCI</w:t>
      </w:r>
      <w:r>
        <w:rPr>
          <w:rFonts w:hint="eastAsia"/>
        </w:rPr>
        <w:t>, the field is used to indicate one or more sub-configurations. UE reports CSIs according to the triggered sub-configurations.</w:t>
      </w:r>
    </w:p>
    <w:p>
      <w:pPr>
        <w:spacing w:before="120" w:after="120"/>
      </w:pPr>
      <w:r>
        <w:rPr>
          <w:rFonts w:hint="eastAsia"/>
        </w:rPr>
        <w:t xml:space="preserve">Both </w:t>
      </w:r>
      <w:r>
        <w:t>solutions</w:t>
      </w:r>
      <w:r>
        <w:rPr>
          <w:rFonts w:hint="eastAsia"/>
        </w:rPr>
        <w:t xml:space="preserve"> can trigger N CSIs and have less spec impact.</w:t>
      </w:r>
    </w:p>
    <w:p>
      <w:pPr>
        <w:pStyle w:val="31"/>
        <w:spacing w:before="120" w:after="120"/>
        <w:rPr>
          <w:lang w:val="en-US" w:eastAsia="zh-CN"/>
        </w:rPr>
      </w:pPr>
      <w:bookmarkStart w:id="165" w:name="_Toc18152"/>
      <w:r>
        <w:rPr>
          <w:rFonts w:hint="eastAsia"/>
          <w:lang w:val="en-US" w:eastAsia="zh-CN"/>
        </w:rPr>
        <w:t xml:space="preserve">For aperiodic CSI report, the following two </w:t>
      </w:r>
      <w:r>
        <w:rPr>
          <w:lang w:val="en-US" w:eastAsia="zh-CN"/>
        </w:rPr>
        <w:t>solutions</w:t>
      </w:r>
      <w:r>
        <w:rPr>
          <w:rFonts w:hint="eastAsia"/>
          <w:lang w:val="en-US" w:eastAsia="zh-CN"/>
        </w:rPr>
        <w:t xml:space="preserve"> to trigger N CSIs from L sub-configurations can be considered:</w:t>
      </w:r>
      <w:bookmarkEnd w:id="165"/>
    </w:p>
    <w:p>
      <w:pPr>
        <w:pStyle w:val="31"/>
        <w:numPr>
          <w:ilvl w:val="0"/>
          <w:numId w:val="0"/>
        </w:numPr>
        <w:spacing w:before="120" w:after="120"/>
        <w:rPr>
          <w:lang w:val="en-US" w:eastAsia="zh-CN"/>
        </w:rPr>
      </w:pPr>
      <w:r>
        <w:rPr>
          <w:rFonts w:hint="eastAsia"/>
          <w:lang w:val="en-US" w:eastAsia="zh-CN"/>
        </w:rPr>
        <w:tab/>
      </w:r>
      <w:bookmarkStart w:id="166" w:name="_Toc32366"/>
      <w:r>
        <w:rPr>
          <w:lang w:val="en-US" w:eastAsia="zh-CN"/>
        </w:rPr>
        <w:t>Solution</w:t>
      </w:r>
      <w:r>
        <w:rPr>
          <w:rFonts w:hint="eastAsia"/>
          <w:lang w:val="en-US" w:eastAsia="zh-CN"/>
        </w:rPr>
        <w:t xml:space="preserve"> #</w:t>
      </w:r>
      <w:r>
        <w:rPr>
          <w:lang w:val="en-US" w:eastAsia="zh-CN"/>
        </w:rPr>
        <w:t>AP-1</w:t>
      </w:r>
      <w:r>
        <w:rPr>
          <w:rFonts w:hint="eastAsia"/>
          <w:lang w:val="en-US" w:eastAsia="zh-CN"/>
        </w:rPr>
        <w:t>: Each trigger state associates with N sub-configurations.</w:t>
      </w:r>
      <w:bookmarkEnd w:id="166"/>
    </w:p>
    <w:p>
      <w:pPr>
        <w:pStyle w:val="31"/>
        <w:numPr>
          <w:ilvl w:val="0"/>
          <w:numId w:val="0"/>
        </w:numPr>
        <w:spacing w:before="120" w:after="120"/>
        <w:rPr>
          <w:lang w:val="en-US" w:eastAsia="zh-CN"/>
        </w:rPr>
      </w:pPr>
      <w:r>
        <w:rPr>
          <w:rFonts w:hint="eastAsia"/>
          <w:lang w:val="en-US" w:eastAsia="zh-CN"/>
        </w:rPr>
        <w:tab/>
      </w:r>
      <w:bookmarkStart w:id="167" w:name="_Toc12189"/>
      <w:r>
        <w:rPr>
          <w:lang w:val="en-US" w:eastAsia="zh-CN"/>
        </w:rPr>
        <w:t>Solution</w:t>
      </w:r>
      <w:r>
        <w:rPr>
          <w:rFonts w:hint="eastAsia"/>
          <w:lang w:val="en-US" w:eastAsia="zh-CN"/>
        </w:rPr>
        <w:t xml:space="preserve"> #</w:t>
      </w:r>
      <w:r>
        <w:rPr>
          <w:lang w:val="en-US" w:eastAsia="zh-CN"/>
        </w:rPr>
        <w:t>AP-2</w:t>
      </w:r>
      <w:r>
        <w:rPr>
          <w:rFonts w:hint="eastAsia"/>
          <w:lang w:val="en-US" w:eastAsia="zh-CN"/>
        </w:rPr>
        <w:t>: Using a new field to indicate N sub-configurations.</w:t>
      </w:r>
      <w:bookmarkEnd w:id="167"/>
    </w:p>
    <w:p>
      <w:pPr>
        <w:numPr>
          <w:ilvl w:val="0"/>
          <w:numId w:val="26"/>
        </w:numPr>
        <w:spacing w:before="120" w:after="120"/>
        <w:rPr>
          <w:b/>
          <w:bCs/>
        </w:rPr>
      </w:pPr>
      <w:r>
        <w:rPr>
          <w:rFonts w:hint="eastAsia"/>
          <w:b/>
          <w:bCs/>
        </w:rPr>
        <w:t>Semi-persistent CSI</w:t>
      </w:r>
    </w:p>
    <w:p>
      <w:pPr>
        <w:tabs>
          <w:tab w:val="left" w:pos="1690"/>
        </w:tabs>
        <w:spacing w:before="120" w:after="120"/>
      </w:pPr>
      <w:r>
        <w:rPr>
          <w:rFonts w:hint="eastAsia"/>
        </w:rPr>
        <w:t>A semi-persistent CSI report configuration can associate with a periodic CSI-RS resource setting or a semi-persistent CSI-RS resource setting. If a semi-persistent CSI report configuration is associate</w:t>
      </w:r>
      <w:r>
        <w:t>d</w:t>
      </w:r>
      <w:r>
        <w:rPr>
          <w:rFonts w:hint="eastAsia"/>
        </w:rPr>
        <w:t xml:space="preserve"> with a semi-persistent CSI-RS resource setting, </w:t>
      </w:r>
      <w:r>
        <w:t>the</w:t>
      </w:r>
      <w:r>
        <w:rPr>
          <w:rFonts w:hint="eastAsia"/>
        </w:rPr>
        <w:t xml:space="preserve"> sem</w:t>
      </w:r>
      <w:r>
        <w:t>i</w:t>
      </w:r>
      <w:r>
        <w:rPr>
          <w:rFonts w:hint="eastAsia"/>
        </w:rPr>
        <w:t>-persistent CSI-RS resource set should be activated first. As shown in Figure</w:t>
      </w:r>
      <w:r>
        <w:t xml:space="preserve"> </w:t>
      </w:r>
      <w:r>
        <w:rPr>
          <w:rFonts w:hint="eastAsia"/>
        </w:rPr>
        <w:t xml:space="preserve">20 below, MAC CE or DCI can be used to trigger SP CSI-RS report. </w:t>
      </w:r>
    </w:p>
    <w:p>
      <w:pPr>
        <w:tabs>
          <w:tab w:val="left" w:pos="1690"/>
        </w:tabs>
        <w:spacing w:before="120" w:after="120"/>
      </w:pPr>
      <w:r>
        <w:rPr>
          <w:rFonts w:hint="eastAsia"/>
        </w:rPr>
        <w:t xml:space="preserve">For the MAC CE, </w:t>
      </w:r>
      <w:r>
        <w:t>S</w:t>
      </w:r>
      <w:r>
        <w:rPr>
          <w:vertAlign w:val="subscript"/>
        </w:rPr>
        <w:t>0</w:t>
      </w:r>
      <w:r>
        <w:t xml:space="preserve"> refers to the report configuration which includes PUCCH resources for SP CSI reporting in the indicated BWP and has the lowest </w:t>
      </w:r>
      <w:r>
        <w:rPr>
          <w:i/>
        </w:rPr>
        <w:t>CSI-ReportConfigId</w:t>
      </w:r>
      <w:r>
        <w:t xml:space="preserve"> within the list with type set to </w:t>
      </w:r>
      <w:r>
        <w:rPr>
          <w:i/>
        </w:rPr>
        <w:t>semiPersistentOnPUCCH</w:t>
      </w:r>
      <w:r>
        <w:t>, S</w:t>
      </w:r>
      <w:r>
        <w:rPr>
          <w:vertAlign w:val="subscript"/>
        </w:rPr>
        <w:t>1</w:t>
      </w:r>
      <w:r>
        <w:t xml:space="preserve"> to the report configuration which includes PUCCH resources for SP CSI reporting in the indicated BWP and has the second lowest </w:t>
      </w:r>
      <w:r>
        <w:rPr>
          <w:i/>
        </w:rPr>
        <w:t>CSI-ReportConfigId</w:t>
      </w:r>
      <w:r>
        <w:t xml:space="preserve"> and so on.</w:t>
      </w:r>
      <w:r>
        <w:rPr>
          <w:rFonts w:hint="eastAsia"/>
        </w:rPr>
        <w:t xml:space="preserve"> </w:t>
      </w:r>
      <w:r>
        <w:rPr>
          <w:lang w:eastAsia="ko-KR"/>
        </w:rPr>
        <w:t>The S</w:t>
      </w:r>
      <w:r>
        <w:rPr>
          <w:vertAlign w:val="subscript"/>
          <w:lang w:eastAsia="ko-KR"/>
        </w:rPr>
        <w:t>i</w:t>
      </w:r>
      <w:r>
        <w:rPr>
          <w:lang w:eastAsia="ko-KR"/>
        </w:rPr>
        <w:t xml:space="preserve"> field is set to </w:t>
      </w:r>
      <w:r>
        <w:t>1</w:t>
      </w:r>
      <w:r>
        <w:rPr>
          <w:lang w:eastAsia="ko-KR"/>
        </w:rPr>
        <w:t xml:space="preserve"> to indicate that the corresponding </w:t>
      </w:r>
      <w:r>
        <w:t xml:space="preserve">semi-persistent CSI report configuration </w:t>
      </w:r>
      <w:r>
        <w:rPr>
          <w:lang w:eastAsia="ko-KR"/>
        </w:rPr>
        <w:t>shall be activated. The S</w:t>
      </w:r>
      <w:r>
        <w:rPr>
          <w:vertAlign w:val="subscript"/>
          <w:lang w:eastAsia="ko-KR"/>
        </w:rPr>
        <w:t>i</w:t>
      </w:r>
      <w:r>
        <w:rPr>
          <w:lang w:eastAsia="ko-KR"/>
        </w:rPr>
        <w:t xml:space="preserve"> field is set to 0 to indicate that the corresponding </w:t>
      </w:r>
      <w:r>
        <w:t xml:space="preserve">semi-persistent CSI report configuration </w:t>
      </w:r>
      <w:r>
        <w:rPr>
          <w:lang w:eastAsia="ko-KR"/>
        </w:rPr>
        <w:t>shall be deactivated</w:t>
      </w:r>
      <w:r>
        <w:rPr>
          <w:rFonts w:hint="eastAsia"/>
        </w:rPr>
        <w:t>.</w:t>
      </w:r>
    </w:p>
    <w:p>
      <w:pPr>
        <w:tabs>
          <w:tab w:val="left" w:pos="1690"/>
        </w:tabs>
        <w:spacing w:before="120" w:after="120"/>
      </w:pPr>
      <w:r>
        <w:rPr>
          <w:rFonts w:hint="eastAsia"/>
        </w:rPr>
        <w:t>For the DCI, a</w:t>
      </w:r>
      <w:r>
        <w:t xml:space="preserve"> codepoint of the CSI request field in the DCI is mapped to a SP-CSI triggering state according to the order of the positions of the configured trigger states in </w:t>
      </w:r>
      <w:r>
        <w:rPr>
          <w:i/>
        </w:rPr>
        <w:t>CSI-SemiPersistentOnPUSCH-TriggerStateList</w:t>
      </w:r>
      <w:r>
        <w:t>, with codepoint '0' mapped to the triggering state in the first position.</w:t>
      </w:r>
      <w:r>
        <w:rPr>
          <w:rFonts w:hint="eastAsia"/>
        </w:rPr>
        <w:t xml:space="preserve"> The DCI can be DCI format 0-1 or format 0-2 scrambled with SP-CSI-RNTI.</w:t>
      </w:r>
    </w:p>
    <w:p>
      <w:pPr>
        <w:tabs>
          <w:tab w:val="left" w:pos="1690"/>
        </w:tabs>
        <w:spacing w:before="120" w:after="120"/>
      </w:pPr>
      <w:r>
        <w:rPr>
          <w:rFonts w:hint="eastAsia"/>
        </w:rPr>
        <w:t xml:space="preserve">One thing should be noted is that </w:t>
      </w:r>
      <w:r>
        <w:t>no matter the SP-CSI report is</w:t>
      </w:r>
      <w:r>
        <w:rPr>
          <w:rFonts w:hint="eastAsia"/>
        </w:rPr>
        <w:t xml:space="preserve"> triggered by MAC CE or DCI, </w:t>
      </w:r>
      <w:r>
        <w:t xml:space="preserve">the triggering </w:t>
      </w:r>
      <w:r>
        <w:rPr>
          <w:rFonts w:hint="eastAsia"/>
        </w:rPr>
        <w:t>signaling can only activate one semi-persistent CSI report at a time.</w:t>
      </w:r>
    </w:p>
    <w:p>
      <w:pPr>
        <w:spacing w:before="120" w:after="120"/>
        <w:jc w:val="center"/>
      </w:pPr>
      <w:r>
        <w:drawing>
          <wp:inline distT="0" distB="0" distL="114300" distR="114300">
            <wp:extent cx="5287645" cy="3700145"/>
            <wp:effectExtent l="0" t="0" r="635" b="3175"/>
            <wp:docPr id="19"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58"/>
                    <pic:cNvPicPr>
                      <a:picLocks noChangeAspect="1"/>
                    </pic:cNvPicPr>
                  </pic:nvPicPr>
                  <pic:blipFill>
                    <a:blip r:embed="rId100"/>
                    <a:stretch>
                      <a:fillRect/>
                    </a:stretch>
                  </pic:blipFill>
                  <pic:spPr>
                    <a:xfrm>
                      <a:off x="0" y="0"/>
                      <a:ext cx="5287645" cy="3700145"/>
                    </a:xfrm>
                    <a:prstGeom prst="rect">
                      <a:avLst/>
                    </a:prstGeom>
                    <a:noFill/>
                    <a:ln>
                      <a:noFill/>
                    </a:ln>
                  </pic:spPr>
                </pic:pic>
              </a:graphicData>
            </a:graphic>
          </wp:inline>
        </w:drawing>
      </w:r>
    </w:p>
    <w:p>
      <w:pPr>
        <w:pStyle w:val="59"/>
        <w:spacing w:before="120" w:after="120"/>
        <w:rPr>
          <w:rFonts w:hint="default"/>
        </w:rPr>
      </w:pPr>
      <w:r>
        <w:t>Semi-persistent CSI report</w:t>
      </w:r>
    </w:p>
    <w:p>
      <w:pPr>
        <w:spacing w:before="120" w:after="120"/>
      </w:pPr>
      <w:r>
        <w:rPr>
          <w:rFonts w:hint="eastAsia"/>
        </w:rPr>
        <w:t>According to current specification, if dynamic indicat</w:t>
      </w:r>
      <w:r>
        <w:t xml:space="preserve">ion of </w:t>
      </w:r>
      <w:r>
        <w:rPr>
          <w:rFonts w:hint="eastAsia"/>
        </w:rPr>
        <w:t xml:space="preserve">N CSIs </w:t>
      </w:r>
      <w:r>
        <w:t xml:space="preserve">is </w:t>
      </w:r>
      <w:r>
        <w:rPr>
          <w:rFonts w:hint="eastAsia"/>
        </w:rPr>
        <w:t xml:space="preserve">also applied for semi-persistent CSI report, both MAC CE and DCI should be enhanced. </w:t>
      </w:r>
    </w:p>
    <w:p>
      <w:pPr>
        <w:spacing w:before="120" w:after="120"/>
      </w:pPr>
      <w:r>
        <w:rPr>
          <w:rFonts w:hint="eastAsia"/>
        </w:rPr>
        <w:t xml:space="preserve">For MAC CE enhancement, new fields can be considered. For example, </w:t>
      </w:r>
      <w:r>
        <w:t>S</w:t>
      </w:r>
      <w:r>
        <w:rPr>
          <w:rFonts w:hint="eastAsia"/>
        </w:rPr>
        <w:t>ub</w:t>
      </w:r>
      <w:r>
        <w:rPr>
          <w:vertAlign w:val="subscript"/>
        </w:rPr>
        <w:t>0</w:t>
      </w:r>
      <w:r>
        <w:t xml:space="preserve"> </w:t>
      </w:r>
      <w:bookmarkStart w:id="248" w:name="_GoBack"/>
      <w:bookmarkEnd w:id="248"/>
      <w:r>
        <w:t xml:space="preserve">refers to the </w:t>
      </w:r>
      <w:r>
        <w:rPr>
          <w:rFonts w:hint="eastAsia"/>
        </w:rPr>
        <w:t>sub-</w:t>
      </w:r>
      <w:r>
        <w:t xml:space="preserve">configuration which </w:t>
      </w:r>
      <w:r>
        <w:rPr>
          <w:rFonts w:hint="eastAsia"/>
        </w:rPr>
        <w:t xml:space="preserve">is first sub-configuration in a CSI report configuration. </w:t>
      </w:r>
      <w:r>
        <w:t>S</w:t>
      </w:r>
      <w:r>
        <w:rPr>
          <w:rFonts w:hint="eastAsia"/>
        </w:rPr>
        <w:t>ub</w:t>
      </w:r>
      <w:r>
        <w:rPr>
          <w:rFonts w:hint="eastAsia"/>
          <w:vertAlign w:val="subscript"/>
        </w:rPr>
        <w:t>1</w:t>
      </w:r>
      <w:r>
        <w:t xml:space="preserve"> refers to the </w:t>
      </w:r>
      <w:r>
        <w:rPr>
          <w:rFonts w:hint="eastAsia"/>
        </w:rPr>
        <w:t>sub-</w:t>
      </w:r>
      <w:r>
        <w:t>configuration which</w:t>
      </w:r>
      <w:r>
        <w:rPr>
          <w:rFonts w:hint="eastAsia"/>
        </w:rPr>
        <w:t xml:space="preserve"> is</w:t>
      </w:r>
      <w:r>
        <w:t xml:space="preserve"> </w:t>
      </w:r>
      <w:r>
        <w:rPr>
          <w:rFonts w:hint="eastAsia"/>
        </w:rPr>
        <w:t xml:space="preserve">second sub-configuration in a CSI report configuration, as so on. </w:t>
      </w:r>
      <w:r>
        <w:rPr>
          <w:lang w:eastAsia="ko-KR"/>
        </w:rPr>
        <w:t>The S</w:t>
      </w:r>
      <w:r>
        <w:rPr>
          <w:rFonts w:hint="eastAsia"/>
        </w:rPr>
        <w:t>ub</w:t>
      </w:r>
      <w:r>
        <w:rPr>
          <w:vertAlign w:val="subscript"/>
          <w:lang w:eastAsia="ko-KR"/>
        </w:rPr>
        <w:t>i</w:t>
      </w:r>
      <w:r>
        <w:rPr>
          <w:lang w:eastAsia="ko-KR"/>
        </w:rPr>
        <w:t xml:space="preserve"> field is set to </w:t>
      </w:r>
      <w:r>
        <w:t>1</w:t>
      </w:r>
      <w:r>
        <w:rPr>
          <w:lang w:eastAsia="ko-KR"/>
        </w:rPr>
        <w:t xml:space="preserve"> to indicate that the corresponding </w:t>
      </w:r>
      <w:r>
        <w:rPr>
          <w:rFonts w:hint="eastAsia"/>
        </w:rPr>
        <w:t>sub-</w:t>
      </w:r>
      <w:r>
        <w:t xml:space="preserve">configuration </w:t>
      </w:r>
      <w:r>
        <w:rPr>
          <w:rFonts w:hint="eastAsia"/>
        </w:rPr>
        <w:t>is indicated</w:t>
      </w:r>
      <w:r>
        <w:rPr>
          <w:lang w:eastAsia="ko-KR"/>
        </w:rPr>
        <w:t>. The S</w:t>
      </w:r>
      <w:r>
        <w:rPr>
          <w:rFonts w:hint="eastAsia"/>
        </w:rPr>
        <w:t>ub</w:t>
      </w:r>
      <w:r>
        <w:rPr>
          <w:vertAlign w:val="subscript"/>
          <w:lang w:eastAsia="ko-KR"/>
        </w:rPr>
        <w:t>i</w:t>
      </w:r>
      <w:r>
        <w:rPr>
          <w:lang w:eastAsia="ko-KR"/>
        </w:rPr>
        <w:t xml:space="preserve"> field is set to 0 to indicate that the corresponding </w:t>
      </w:r>
      <w:r>
        <w:rPr>
          <w:rFonts w:hint="eastAsia"/>
        </w:rPr>
        <w:t>sub-</w:t>
      </w:r>
      <w:r>
        <w:t>configuration i</w:t>
      </w:r>
      <w:r>
        <w:rPr>
          <w:rFonts w:hint="eastAsia"/>
        </w:rPr>
        <w:t>s not indicated.</w:t>
      </w:r>
    </w:p>
    <w:p>
      <w:pPr>
        <w:spacing w:before="120" w:after="120"/>
        <w:jc w:val="center"/>
      </w:pPr>
      <w:r>
        <w:drawing>
          <wp:inline distT="0" distB="0" distL="114300" distR="114300">
            <wp:extent cx="3891915" cy="932815"/>
            <wp:effectExtent l="0" t="0" r="13335" b="635"/>
            <wp:docPr id="20"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59"/>
                    <pic:cNvPicPr>
                      <a:picLocks noChangeAspect="1"/>
                    </pic:cNvPicPr>
                  </pic:nvPicPr>
                  <pic:blipFill>
                    <a:blip r:embed="rId101"/>
                    <a:stretch>
                      <a:fillRect/>
                    </a:stretch>
                  </pic:blipFill>
                  <pic:spPr>
                    <a:xfrm>
                      <a:off x="0" y="0"/>
                      <a:ext cx="3891915" cy="932815"/>
                    </a:xfrm>
                    <a:prstGeom prst="rect">
                      <a:avLst/>
                    </a:prstGeom>
                    <a:noFill/>
                    <a:ln>
                      <a:noFill/>
                    </a:ln>
                  </pic:spPr>
                </pic:pic>
              </a:graphicData>
            </a:graphic>
          </wp:inline>
        </w:drawing>
      </w:r>
    </w:p>
    <w:p>
      <w:pPr>
        <w:pStyle w:val="59"/>
        <w:spacing w:before="120" w:after="120"/>
        <w:rPr>
          <w:rFonts w:hint="default"/>
        </w:rPr>
      </w:pPr>
      <w:r>
        <w:t>Enhanced MAC CE for semi-persistent CSI</w:t>
      </w:r>
    </w:p>
    <w:p>
      <w:pPr>
        <w:spacing w:before="120" w:after="120"/>
      </w:pPr>
      <w:r>
        <w:rPr>
          <w:rFonts w:hint="eastAsia"/>
        </w:rPr>
        <w:t xml:space="preserve">To align the enhancement of MAC CE and DCI, a </w:t>
      </w:r>
      <w:r>
        <w:t>similar</w:t>
      </w:r>
      <w:r>
        <w:rPr>
          <w:rFonts w:hint="eastAsia"/>
        </w:rPr>
        <w:t xml:space="preserve"> field used to activate sub-configuration</w:t>
      </w:r>
      <w:r>
        <w:t xml:space="preserve"> in DCI</w:t>
      </w:r>
      <w:r>
        <w:rPr>
          <w:rFonts w:hint="eastAsia"/>
        </w:rPr>
        <w:t xml:space="preserve"> can be considered.</w:t>
      </w:r>
      <w:r>
        <w:t xml:space="preserve"> In this sense</w:t>
      </w:r>
      <w:r>
        <w:rPr>
          <w:rFonts w:hint="eastAsia"/>
        </w:rPr>
        <w:t xml:space="preserve">, </w:t>
      </w:r>
      <w:r>
        <w:t xml:space="preserve">a </w:t>
      </w:r>
      <w:r>
        <w:rPr>
          <w:rFonts w:hint="eastAsia"/>
        </w:rPr>
        <w:t xml:space="preserve">new field </w:t>
      </w:r>
      <w:r>
        <w:t xml:space="preserve">in a form of bitmap can be </w:t>
      </w:r>
      <w:r>
        <w:rPr>
          <w:rFonts w:hint="eastAsia"/>
        </w:rPr>
        <w:t xml:space="preserve">added in DCI to indicates N sub-configurations </w:t>
      </w:r>
      <w:r>
        <w:t>where</w:t>
      </w:r>
      <w:r>
        <w:rPr>
          <w:rFonts w:hint="eastAsia"/>
        </w:rPr>
        <w:t xml:space="preserve"> </w:t>
      </w:r>
      <w:r>
        <w:t>e</w:t>
      </w:r>
      <w:r>
        <w:rPr>
          <w:rFonts w:hint="eastAsia"/>
        </w:rPr>
        <w:t xml:space="preserve">ach bit </w:t>
      </w:r>
      <w:r>
        <w:t>corresponds</w:t>
      </w:r>
      <w:r>
        <w:rPr>
          <w:rFonts w:hint="eastAsia"/>
        </w:rPr>
        <w:t xml:space="preserve"> to one sub-configuration.</w:t>
      </w:r>
    </w:p>
    <w:p>
      <w:pPr>
        <w:spacing w:before="120" w:after="120"/>
      </w:pPr>
      <w:r>
        <w:rPr>
          <w:rFonts w:hint="eastAsia"/>
        </w:rPr>
        <w:t>The benefit of reusing current MAC CE and DCI is that no new signaling is introduced. However, current MAC CE and DCI are UE specific signaling</w:t>
      </w:r>
      <w:r>
        <w:t>,</w:t>
      </w:r>
      <w:r>
        <w:rPr>
          <w:rFonts w:hint="eastAsia"/>
        </w:rPr>
        <w:t xml:space="preserve"> and </w:t>
      </w:r>
      <w:r>
        <w:t xml:space="preserve">they </w:t>
      </w:r>
      <w:r>
        <w:rPr>
          <w:rFonts w:hint="eastAsia"/>
        </w:rPr>
        <w:t>can only activate one semi-persistent CSI report at a time. If sub-configurations</w:t>
      </w:r>
      <w:r>
        <w:t xml:space="preserve"> are changed due to TxRU adaptation</w:t>
      </w:r>
      <w:r>
        <w:rPr>
          <w:rFonts w:hint="eastAsia"/>
        </w:rPr>
        <w:t xml:space="preserve">, gNB should change the configuration of each semi-persistent CSI report for each UEs. The signaling overhead </w:t>
      </w:r>
      <w:r>
        <w:t xml:space="preserve">of the indication of the change </w:t>
      </w:r>
      <w:r>
        <w:rPr>
          <w:rFonts w:hint="eastAsia"/>
        </w:rPr>
        <w:t xml:space="preserve">is large. And the time </w:t>
      </w:r>
      <w:r>
        <w:t>required by informing all the UEs in the cell of the</w:t>
      </w:r>
      <w:r>
        <w:rPr>
          <w:rFonts w:hint="eastAsia"/>
        </w:rPr>
        <w:t xml:space="preserve"> </w:t>
      </w:r>
      <w:r>
        <w:t xml:space="preserve">configuration </w:t>
      </w:r>
      <w:r>
        <w:rPr>
          <w:rFonts w:hint="eastAsia"/>
        </w:rPr>
        <w:t>change will be long.</w:t>
      </w:r>
    </w:p>
    <w:p>
      <w:pPr>
        <w:pStyle w:val="30"/>
        <w:spacing w:before="120" w:after="120"/>
        <w:rPr>
          <w:lang w:val="en-US" w:eastAsia="zh-CN"/>
        </w:rPr>
      </w:pPr>
      <w:bookmarkStart w:id="168" w:name="_Toc13340"/>
      <w:bookmarkStart w:id="169" w:name="_Toc1481"/>
      <w:bookmarkStart w:id="170" w:name="_Toc21003"/>
      <w:r>
        <w:rPr>
          <w:rFonts w:hint="eastAsia"/>
          <w:lang w:val="en-US" w:eastAsia="zh-CN"/>
        </w:rPr>
        <w:t>Current MAC CE and DCI are UE specific signaling and can only activate one semi-persistent CSI report at a time. If gNB changes sub-configurations, the signaling overhead is large and request long time.</w:t>
      </w:r>
      <w:bookmarkEnd w:id="168"/>
      <w:bookmarkEnd w:id="169"/>
      <w:bookmarkEnd w:id="170"/>
      <w:r>
        <w:rPr>
          <w:rFonts w:hint="eastAsia"/>
          <w:lang w:val="en-US" w:eastAsia="zh-CN"/>
        </w:rPr>
        <w:t xml:space="preserve"> </w:t>
      </w:r>
    </w:p>
    <w:p>
      <w:pPr>
        <w:spacing w:before="120" w:after="120"/>
      </w:pPr>
      <w:r>
        <w:rPr>
          <w:rFonts w:hint="eastAsia"/>
        </w:rPr>
        <w:t>To reduce the signaling overhead</w:t>
      </w:r>
      <w:r>
        <w:t>,</w:t>
      </w:r>
      <w:r>
        <w:rPr>
          <w:rFonts w:hint="eastAsia"/>
        </w:rPr>
        <w:t xml:space="preserve"> a group common DCI can be considered to indicates N CSIs for all CSI report.</w:t>
      </w:r>
      <w:r>
        <w:t xml:space="preserve"> A c</w:t>
      </w:r>
      <w:r>
        <w:rPr>
          <w:rFonts w:hint="eastAsia"/>
        </w:rPr>
        <w:t xml:space="preserve">odepoint or bitmap </w:t>
      </w:r>
      <w:r>
        <w:t xml:space="preserve">of the group common DCI </w:t>
      </w:r>
      <w:r>
        <w:rPr>
          <w:rFonts w:hint="eastAsia"/>
        </w:rPr>
        <w:t>can be used to indicates activate/de-activate sub-configurations.</w:t>
      </w:r>
    </w:p>
    <w:p>
      <w:pPr>
        <w:pStyle w:val="31"/>
        <w:spacing w:before="120" w:after="120"/>
        <w:rPr>
          <w:lang w:val="en-US" w:eastAsia="zh-CN"/>
        </w:rPr>
      </w:pPr>
      <w:bookmarkStart w:id="171" w:name="_Toc10685"/>
      <w:r>
        <w:rPr>
          <w:rFonts w:hint="eastAsia"/>
          <w:lang w:val="en-US" w:eastAsia="zh-CN"/>
        </w:rPr>
        <w:t xml:space="preserve">For semi-persistent CSI report, the following </w:t>
      </w:r>
      <w:r>
        <w:rPr>
          <w:lang w:val="en-US" w:eastAsia="zh-CN"/>
        </w:rPr>
        <w:t>solutions</w:t>
      </w:r>
      <w:r>
        <w:rPr>
          <w:rFonts w:hint="eastAsia"/>
          <w:lang w:val="en-US" w:eastAsia="zh-CN"/>
        </w:rPr>
        <w:t xml:space="preserve"> to trigger N CSIs from L sub-configurations can be considered:</w:t>
      </w:r>
      <w:bookmarkEnd w:id="171"/>
    </w:p>
    <w:p>
      <w:pPr>
        <w:pStyle w:val="31"/>
        <w:numPr>
          <w:ilvl w:val="0"/>
          <w:numId w:val="0"/>
        </w:numPr>
        <w:spacing w:before="120" w:after="120"/>
        <w:rPr>
          <w:lang w:val="en-US" w:eastAsia="zh-CN"/>
        </w:rPr>
      </w:pPr>
      <w:r>
        <w:rPr>
          <w:rFonts w:hint="eastAsia"/>
          <w:lang w:val="en-US" w:eastAsia="zh-CN"/>
        </w:rPr>
        <w:tab/>
      </w:r>
      <w:bookmarkStart w:id="172" w:name="_Toc4994"/>
      <w:r>
        <w:rPr>
          <w:lang w:val="en-US" w:eastAsia="zh-CN"/>
        </w:rPr>
        <w:t>Solution</w:t>
      </w:r>
      <w:r>
        <w:rPr>
          <w:rFonts w:hint="eastAsia"/>
          <w:lang w:val="en-US" w:eastAsia="zh-CN"/>
        </w:rPr>
        <w:t>#</w:t>
      </w:r>
      <w:r>
        <w:rPr>
          <w:lang w:val="en-US" w:eastAsia="zh-CN"/>
        </w:rPr>
        <w:t>SP-</w:t>
      </w:r>
      <w:r>
        <w:rPr>
          <w:rFonts w:hint="eastAsia"/>
          <w:lang w:val="en-US" w:eastAsia="zh-CN"/>
        </w:rPr>
        <w:t>1: Adding new fields to indicate N sub-configurations in current MAC CE and DCI.</w:t>
      </w:r>
      <w:bookmarkEnd w:id="172"/>
    </w:p>
    <w:p>
      <w:pPr>
        <w:pStyle w:val="31"/>
        <w:numPr>
          <w:ilvl w:val="0"/>
          <w:numId w:val="0"/>
        </w:numPr>
        <w:spacing w:before="120" w:after="120"/>
        <w:rPr>
          <w:lang w:val="en-US" w:eastAsia="zh-CN"/>
        </w:rPr>
      </w:pPr>
      <w:r>
        <w:rPr>
          <w:rFonts w:hint="eastAsia"/>
          <w:lang w:val="en-US" w:eastAsia="zh-CN"/>
        </w:rPr>
        <w:tab/>
      </w:r>
      <w:bookmarkStart w:id="173" w:name="_Toc2613"/>
      <w:r>
        <w:rPr>
          <w:lang w:val="en-US" w:eastAsia="zh-CN"/>
        </w:rPr>
        <w:t>Solution</w:t>
      </w:r>
      <w:r>
        <w:rPr>
          <w:rFonts w:hint="eastAsia"/>
          <w:lang w:val="en-US" w:eastAsia="zh-CN"/>
        </w:rPr>
        <w:t>#</w:t>
      </w:r>
      <w:r>
        <w:rPr>
          <w:lang w:val="en-US" w:eastAsia="zh-CN"/>
        </w:rPr>
        <w:t xml:space="preserve"> SP-</w:t>
      </w:r>
      <w:r>
        <w:rPr>
          <w:rFonts w:hint="eastAsia"/>
          <w:lang w:val="en-US" w:eastAsia="zh-CN"/>
        </w:rPr>
        <w:t>2: Using a new group common DCI to indicate N sub-configurations.</w:t>
      </w:r>
      <w:bookmarkEnd w:id="173"/>
    </w:p>
    <w:p>
      <w:pPr>
        <w:numPr>
          <w:ilvl w:val="0"/>
          <w:numId w:val="26"/>
        </w:numPr>
        <w:spacing w:before="120" w:after="120"/>
        <w:rPr>
          <w:b/>
          <w:bCs/>
          <w:szCs w:val="21"/>
        </w:rPr>
      </w:pPr>
      <w:r>
        <w:rPr>
          <w:rFonts w:hint="eastAsia"/>
          <w:b/>
          <w:bCs/>
        </w:rPr>
        <w:t>Periodic CSI</w:t>
      </w:r>
    </w:p>
    <w:p>
      <w:pPr>
        <w:spacing w:before="120" w:after="120" w:line="256" w:lineRule="auto"/>
      </w:pPr>
      <w:r>
        <w:rPr>
          <w:rFonts w:hint="eastAsia"/>
        </w:rPr>
        <w:t xml:space="preserve">For periodic CSI report, it is widely used in current network. If a periodic CSI report is configured, UE needs to report CSI according the CSI report configuration unless the </w:t>
      </w:r>
      <w:r>
        <w:t>parameters are reconfigured</w:t>
      </w:r>
      <w:r>
        <w:rPr>
          <w:rFonts w:hint="eastAsia"/>
        </w:rPr>
        <w:t xml:space="preserve">. </w:t>
      </w:r>
    </w:p>
    <w:p>
      <w:pPr>
        <w:spacing w:before="120" w:after="120" w:line="256" w:lineRule="auto"/>
      </w:pPr>
      <w:r>
        <w:t>For multi-CSI in one report, i</w:t>
      </w:r>
      <w:r>
        <w:rPr>
          <w:rFonts w:hint="eastAsia"/>
        </w:rPr>
        <w:t xml:space="preserve">t </w:t>
      </w:r>
      <w:r>
        <w:t>may</w:t>
      </w:r>
      <w:r>
        <w:rPr>
          <w:rFonts w:hint="eastAsia"/>
        </w:rPr>
        <w:t xml:space="preserve"> be benefic</w:t>
      </w:r>
      <w:r>
        <w:t>ial</w:t>
      </w:r>
      <w:r>
        <w:rPr>
          <w:rFonts w:hint="eastAsia"/>
        </w:rPr>
        <w:t xml:space="preserve"> if gNB can dynamically indicate N&lt;L CSIs for a periodic CSI report. The UE complexity and UL signaling overhead can be reduced and the flexibility for other CSI report can be increased. gNB can indicate to a small number of CSIs for periodic CSI report when gNB want to trigger another CSI report.</w:t>
      </w:r>
    </w:p>
    <w:p>
      <w:pPr>
        <w:spacing w:before="120" w:after="120" w:line="256" w:lineRule="auto"/>
      </w:pPr>
      <w:r>
        <w:rPr>
          <w:rFonts w:hint="eastAsia"/>
        </w:rPr>
        <w:t>Hence, dynamically indicating N&lt;L CSIs for periodic CSI report can be considered. And same group common DCI as semi-persistent CSI report can be used.</w:t>
      </w:r>
    </w:p>
    <w:p>
      <w:pPr>
        <w:pStyle w:val="30"/>
        <w:spacing w:before="120" w:after="120"/>
        <w:rPr>
          <w:lang w:val="en-US" w:eastAsia="zh-CN"/>
        </w:rPr>
      </w:pPr>
      <w:bookmarkStart w:id="174" w:name="_Toc14872"/>
      <w:bookmarkStart w:id="175" w:name="_Toc29155"/>
      <w:bookmarkStart w:id="176" w:name="_Toc26651"/>
      <w:r>
        <w:rPr>
          <w:rFonts w:hint="eastAsia"/>
          <w:lang w:val="en-US" w:eastAsia="zh-CN"/>
        </w:rPr>
        <w:t>For periodic CSI report, dynamically indicating N&lt;L CSIs can reduce UE complexity and UL signaling overhead and increase the flexibility of CSI report.</w:t>
      </w:r>
      <w:bookmarkEnd w:id="174"/>
      <w:bookmarkEnd w:id="175"/>
      <w:bookmarkEnd w:id="176"/>
    </w:p>
    <w:p>
      <w:pPr>
        <w:pStyle w:val="31"/>
        <w:spacing w:before="120" w:after="120"/>
        <w:rPr>
          <w:lang w:val="en-US" w:eastAsia="zh-CN"/>
        </w:rPr>
      </w:pPr>
      <w:bookmarkStart w:id="177" w:name="_Toc5316"/>
      <w:r>
        <w:rPr>
          <w:rFonts w:hint="eastAsia"/>
          <w:lang w:val="en-US" w:eastAsia="zh-CN"/>
        </w:rPr>
        <w:t>For periodic CSI report, support using a new group common DCI to indicate N</w:t>
      </w:r>
      <w:r>
        <w:rPr>
          <w:lang w:val="en-US" w:eastAsia="zh-CN"/>
        </w:rPr>
        <w:t>≤</w:t>
      </w:r>
      <w:r>
        <w:rPr>
          <w:rFonts w:hint="eastAsia"/>
          <w:lang w:val="en-US" w:eastAsia="zh-CN"/>
        </w:rPr>
        <w:t>L sub-configurations.</w:t>
      </w:r>
      <w:bookmarkEnd w:id="177"/>
    </w:p>
    <w:p>
      <w:pPr>
        <w:pStyle w:val="2"/>
        <w:numPr>
          <w:ilvl w:val="0"/>
          <w:numId w:val="10"/>
        </w:numPr>
        <w:spacing w:before="120" w:after="120"/>
        <w:rPr>
          <w:rFonts w:ascii="Times New Roman" w:hAnsi="Times New Roman" w:eastAsia="宋体"/>
          <w:b/>
          <w:bCs/>
          <w:sz w:val="28"/>
          <w:szCs w:val="28"/>
        </w:rPr>
      </w:pPr>
      <w:r>
        <w:rPr>
          <w:rFonts w:hint="eastAsia" w:ascii="Times New Roman" w:hAnsi="Times New Roman" w:eastAsia="宋体"/>
          <w:b/>
          <w:bCs/>
          <w:sz w:val="28"/>
          <w:szCs w:val="28"/>
        </w:rPr>
        <w:t>Consideration</w:t>
      </w:r>
      <w:r>
        <w:rPr>
          <w:rFonts w:ascii="Times New Roman" w:hAnsi="Times New Roman" w:eastAsia="宋体"/>
          <w:b/>
          <w:bCs/>
          <w:sz w:val="28"/>
          <w:szCs w:val="28"/>
        </w:rPr>
        <w:t xml:space="preserve"> on CSI related procedure enhancement in power domain</w:t>
      </w:r>
    </w:p>
    <w:p>
      <w:pPr>
        <w:spacing w:before="120" w:after="120"/>
        <w:rPr>
          <w:iCs/>
        </w:rPr>
      </w:pPr>
      <w:r>
        <w:t xml:space="preserve">The dynamic power adjustment can adapt to different channel conditions and bring gNB energy saving gain. </w:t>
      </w:r>
      <w:r>
        <w:rPr>
          <w:szCs w:val="24"/>
        </w:rPr>
        <w:t>Wh</w:t>
      </w:r>
      <w:r>
        <w:rPr>
          <w:rFonts w:hint="eastAsia"/>
          <w:szCs w:val="24"/>
        </w:rPr>
        <w:t>ile</w:t>
      </w:r>
      <w:r>
        <w:rPr>
          <w:szCs w:val="24"/>
        </w:rPr>
        <w:t xml:space="preserve"> </w:t>
      </w:r>
      <w:r>
        <w:rPr>
          <w:rFonts w:hint="eastAsia"/>
          <w:szCs w:val="24"/>
        </w:rPr>
        <w:t>the semi-static power offset configuration does not match the dynamic power adjustment for PDSCH, so the enhancement on the power offset between PDSCH and CSI-RS should be considered.</w:t>
      </w:r>
    </w:p>
    <w:p>
      <w:pPr>
        <w:spacing w:before="120" w:after="120"/>
      </w:pPr>
      <w:r>
        <w:rPr>
          <w:rFonts w:hint="eastAsia"/>
        </w:rPr>
        <w:t xml:space="preserve">Based on the motivation of the enhancement on spatial domain and power domain, it can be observed that both the enhancement for power domain and spatial domain have a similar purpose to provide more information for the base station, so that the base station can obtain proper and more accurate CSIs when network energy saving techniques are used, thereby ensuring that system performance of the base station is not affected. And both the antenna ports related information and the power offset between PDSCH and CSI-RS are </w:t>
      </w:r>
      <w:r>
        <w:rPr>
          <w:rFonts w:eastAsia="PMingLiU"/>
          <w:lang w:eastAsia="zh-TW"/>
        </w:rPr>
        <w:t>critical for the UE to compute the CSI</w:t>
      </w:r>
      <w:r>
        <w:rPr>
          <w:rFonts w:hint="eastAsia"/>
        </w:rPr>
        <w:t>. Therefore, it</w:t>
      </w:r>
      <w:r>
        <w:t>’</w:t>
      </w:r>
      <w:r>
        <w:rPr>
          <w:rFonts w:hint="eastAsia"/>
        </w:rPr>
        <w:t>s better to use a same framework for the enhancement on power domain and the enhancement on spatial domain, so that</w:t>
      </w:r>
      <w:r>
        <w:t xml:space="preserve"> workload</w:t>
      </w:r>
      <w:r>
        <w:rPr>
          <w:rFonts w:hint="eastAsia"/>
        </w:rPr>
        <w:t xml:space="preserve"> can be reduced. </w:t>
      </w:r>
    </w:p>
    <w:p>
      <w:pPr>
        <w:pStyle w:val="31"/>
        <w:tabs>
          <w:tab w:val="clear" w:pos="0"/>
        </w:tabs>
        <w:spacing w:before="120" w:after="120"/>
        <w:rPr>
          <w:iCs/>
          <w:lang w:val="en-US" w:eastAsia="zh-CN"/>
        </w:rPr>
      </w:pPr>
      <w:bookmarkStart w:id="178" w:name="_Toc25124"/>
      <w:bookmarkStart w:id="179" w:name="_Toc8129"/>
      <w:bookmarkStart w:id="180" w:name="_Toc23401"/>
      <w:bookmarkStart w:id="181" w:name="_Toc31278"/>
      <w:bookmarkStart w:id="182" w:name="_Toc28446"/>
      <w:bookmarkStart w:id="183" w:name="_Toc28509"/>
      <w:bookmarkStart w:id="184" w:name="_Toc10927"/>
      <w:bookmarkStart w:id="185" w:name="_Toc3286"/>
      <w:bookmarkStart w:id="186" w:name="_Toc18705"/>
      <w:bookmarkStart w:id="187" w:name="_Toc3003"/>
      <w:r>
        <w:rPr>
          <w:rFonts w:hint="eastAsia"/>
          <w:lang w:val="en-US" w:eastAsia="zh-CN"/>
        </w:rPr>
        <w:t xml:space="preserve">Same </w:t>
      </w:r>
      <w:r>
        <w:rPr>
          <w:lang w:val="en-US" w:eastAsia="zh-CN"/>
        </w:rPr>
        <w:t>framework</w:t>
      </w:r>
      <w:r>
        <w:rPr>
          <w:rFonts w:hint="eastAsia"/>
          <w:lang w:val="en-US" w:eastAsia="zh-CN"/>
        </w:rPr>
        <w:t xml:space="preserve"> can be used for the enhancement on power domain and the enhancement on spatial domain.</w:t>
      </w:r>
      <w:bookmarkEnd w:id="178"/>
      <w:bookmarkEnd w:id="179"/>
      <w:bookmarkEnd w:id="180"/>
      <w:bookmarkEnd w:id="181"/>
      <w:bookmarkEnd w:id="182"/>
      <w:bookmarkEnd w:id="183"/>
      <w:bookmarkEnd w:id="184"/>
      <w:bookmarkEnd w:id="185"/>
      <w:bookmarkEnd w:id="186"/>
      <w:bookmarkEnd w:id="187"/>
      <w:r>
        <w:rPr>
          <w:rFonts w:hint="eastAsia"/>
          <w:lang w:val="en-US" w:eastAsia="zh-CN"/>
        </w:rPr>
        <w:t xml:space="preserve"> </w:t>
      </w:r>
    </w:p>
    <w:p>
      <w:pPr>
        <w:spacing w:before="120" w:after="120"/>
        <w:rPr>
          <w:iCs/>
        </w:rPr>
      </w:pPr>
      <w:r>
        <w:rPr>
          <w:rFonts w:hint="eastAsia"/>
          <w:iCs/>
        </w:rPr>
        <w:t xml:space="preserve">In </w:t>
      </w:r>
      <w:r>
        <w:rPr>
          <w:rFonts w:hint="eastAsia"/>
          <w:szCs w:val="21"/>
        </w:rPr>
        <w:t xml:space="preserve">3GPP RAN1#112is-e meeting, the agreement was achieved that </w:t>
      </w:r>
      <w:r>
        <w:rPr>
          <w:szCs w:val="21"/>
        </w:rPr>
        <w:t>multiple power offset values</w:t>
      </w:r>
      <w:r>
        <w:rPr>
          <w:rFonts w:hint="eastAsia"/>
          <w:szCs w:val="21"/>
        </w:rPr>
        <w:t xml:space="preserve"> </w:t>
      </w:r>
      <w:r>
        <w:rPr>
          <w:rFonts w:hint="eastAsia"/>
          <w:iCs/>
        </w:rPr>
        <w:t>between PDSCH and CSI-RS can be configured to match different power adaptation cases.</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spacing w:before="120" w:after="120"/>
              <w:rPr>
                <w:b/>
                <w:bCs/>
                <w:szCs w:val="21"/>
                <w:highlight w:val="green"/>
              </w:rPr>
            </w:pPr>
            <w:r>
              <w:rPr>
                <w:b/>
                <w:bCs/>
                <w:szCs w:val="21"/>
                <w:highlight w:val="green"/>
              </w:rPr>
              <w:t>Agreement</w:t>
            </w:r>
          </w:p>
          <w:p>
            <w:pPr>
              <w:spacing w:before="120" w:after="120"/>
              <w:rPr>
                <w:rFonts w:eastAsia="等线"/>
                <w:bCs/>
                <w:szCs w:val="21"/>
              </w:rPr>
            </w:pPr>
            <w:r>
              <w:rPr>
                <w:rFonts w:eastAsia="等线"/>
                <w:bCs/>
                <w:szCs w:val="21"/>
              </w:rPr>
              <w:t xml:space="preserve">For power domain adaptation, </w:t>
            </w:r>
            <w:r>
              <w:rPr>
                <w:rFonts w:eastAsia="等线"/>
                <w:szCs w:val="21"/>
              </w:rPr>
              <w:t>for CSI(s) reporting</w:t>
            </w:r>
            <w:r>
              <w:rPr>
                <w:rFonts w:eastAsia="等线"/>
                <w:bCs/>
                <w:szCs w:val="21"/>
              </w:rPr>
              <w:t>, support configuration of more than one power offset values for PDSCH relative to CSI-RS</w:t>
            </w:r>
          </w:p>
          <w:p>
            <w:pPr>
              <w:numPr>
                <w:ilvl w:val="0"/>
                <w:numId w:val="27"/>
              </w:numPr>
              <w:spacing w:before="120" w:after="120"/>
              <w:rPr>
                <w:bCs/>
                <w:szCs w:val="21"/>
              </w:rPr>
            </w:pPr>
            <w:r>
              <w:rPr>
                <w:bCs/>
                <w:szCs w:val="21"/>
              </w:rPr>
              <w:t>FFS: impact on CSI processing requirement</w:t>
            </w:r>
          </w:p>
          <w:p>
            <w:pPr>
              <w:numPr>
                <w:ilvl w:val="0"/>
                <w:numId w:val="27"/>
              </w:numPr>
              <w:spacing w:before="120" w:after="120"/>
              <w:rPr>
                <w:bCs/>
                <w:szCs w:val="21"/>
              </w:rPr>
            </w:pPr>
            <w:r>
              <w:rPr>
                <w:rFonts w:eastAsia="PMingLiU"/>
                <w:bCs/>
                <w:szCs w:val="21"/>
                <w:lang w:eastAsia="zh-TW"/>
              </w:rPr>
              <w:t>FFS: details on configuration/indication of the power offset values</w:t>
            </w:r>
          </w:p>
          <w:p>
            <w:pPr>
              <w:numPr>
                <w:ilvl w:val="0"/>
                <w:numId w:val="27"/>
              </w:numPr>
              <w:spacing w:before="120" w:after="120"/>
              <w:rPr>
                <w:iCs/>
                <w:szCs w:val="21"/>
              </w:rPr>
            </w:pPr>
            <w:r>
              <w:rPr>
                <w:rFonts w:eastAsia="PMingLiU"/>
                <w:bCs/>
                <w:szCs w:val="21"/>
                <w:lang w:eastAsia="zh-TW"/>
              </w:rPr>
              <w:t>FFS: whether/how to additionally consider the case where CSI-RS power is changed</w:t>
            </w:r>
          </w:p>
        </w:tc>
      </w:tr>
    </w:tbl>
    <w:p>
      <w:pPr>
        <w:spacing w:before="120" w:after="120"/>
        <w:rPr>
          <w:iCs/>
        </w:rPr>
      </w:pPr>
    </w:p>
    <w:p>
      <w:pPr>
        <w:spacing w:before="120" w:after="120"/>
      </w:pPr>
      <w:r>
        <w:rPr>
          <w:szCs w:val="24"/>
        </w:rPr>
        <w:t xml:space="preserve">Obviously, when </w:t>
      </w:r>
      <w:r>
        <w:rPr>
          <w:szCs w:val="21"/>
        </w:rPr>
        <w:t>multiple power offset values</w:t>
      </w:r>
      <w:r>
        <w:rPr>
          <w:rFonts w:hint="eastAsia"/>
          <w:szCs w:val="21"/>
        </w:rPr>
        <w:t xml:space="preserve"> are configured</w:t>
      </w:r>
      <w:r>
        <w:t xml:space="preserve">, </w:t>
      </w:r>
      <w:r>
        <w:rPr>
          <w:rFonts w:hint="eastAsia"/>
        </w:rPr>
        <w:t xml:space="preserve">UE can perform </w:t>
      </w:r>
      <w:r>
        <w:t xml:space="preserve">CSI measurements </w:t>
      </w:r>
      <w:r>
        <w:rPr>
          <w:rFonts w:hint="eastAsia"/>
        </w:rPr>
        <w:t>and derive CSI feedback using</w:t>
      </w:r>
      <w:r>
        <w:t xml:space="preserve"> different power offset</w:t>
      </w:r>
      <w:r>
        <w:rPr>
          <w:rFonts w:hint="eastAsia"/>
        </w:rPr>
        <w:t xml:space="preserve"> values</w:t>
      </w:r>
      <w:r>
        <w:t>.</w:t>
      </w:r>
      <w:r>
        <w:rPr>
          <w:rFonts w:hint="eastAsia"/>
        </w:rPr>
        <w:t xml:space="preserve"> The CSI reporting associated with multiple power offset can guarantee the network obtain the proper/accurate CSI measurement results and assist the network for the dynamic transmission power adjustment. Therefore, when dynamic power adjustment is performed, m</w:t>
      </w:r>
      <w:r>
        <w:t>ulti-CSI report with different power offset</w:t>
      </w:r>
      <w:r>
        <w:rPr>
          <w:rFonts w:hint="eastAsia"/>
        </w:rPr>
        <w:t xml:space="preserve"> values </w:t>
      </w:r>
      <w:r>
        <w:t>can be considered.</w:t>
      </w:r>
    </w:p>
    <w:p>
      <w:pPr>
        <w:pStyle w:val="30"/>
        <w:tabs>
          <w:tab w:val="clear" w:pos="0"/>
          <w:tab w:val="clear" w:pos="420"/>
          <w:tab w:val="clear" w:pos="4820"/>
        </w:tabs>
        <w:adjustRightInd w:val="0"/>
        <w:snapToGrid w:val="0"/>
        <w:spacing w:before="120" w:after="120"/>
        <w:rPr>
          <w:iCs/>
          <w:lang w:val="en-US" w:eastAsia="zh-CN"/>
        </w:rPr>
      </w:pPr>
      <w:bookmarkStart w:id="188" w:name="_Toc3634"/>
      <w:bookmarkStart w:id="189" w:name="_Toc17124"/>
      <w:bookmarkStart w:id="190" w:name="_Toc1143"/>
      <w:bookmarkStart w:id="191" w:name="_Toc18334"/>
      <w:bookmarkStart w:id="192" w:name="_Toc31039"/>
      <w:bookmarkStart w:id="193" w:name="_Toc32444"/>
      <w:bookmarkStart w:id="194" w:name="_Toc890"/>
      <w:bookmarkStart w:id="195" w:name="_Toc20406"/>
      <w:r>
        <w:rPr>
          <w:rFonts w:hint="eastAsia"/>
          <w:lang w:val="en-US" w:eastAsia="zh-CN"/>
        </w:rPr>
        <w:t>M</w:t>
      </w:r>
      <w:r>
        <w:t>ulti-CSI report with different power offset</w:t>
      </w:r>
      <w:r>
        <w:rPr>
          <w:rFonts w:hint="eastAsia"/>
          <w:lang w:val="en-US" w:eastAsia="zh-CN"/>
        </w:rPr>
        <w:t xml:space="preserve"> values</w:t>
      </w:r>
      <w:r>
        <w:t xml:space="preserve"> </w:t>
      </w:r>
      <w:r>
        <w:rPr>
          <w:rFonts w:hint="eastAsia"/>
          <w:lang w:val="en-US" w:eastAsia="zh-CN"/>
        </w:rPr>
        <w:t xml:space="preserve">is beneficial for the gNB to </w:t>
      </w:r>
      <w:r>
        <w:rPr>
          <w:lang w:val="en-US" w:eastAsia="zh-CN"/>
        </w:rPr>
        <w:t>obtain</w:t>
      </w:r>
      <w:r>
        <w:rPr>
          <w:rFonts w:hint="eastAsia"/>
          <w:lang w:val="en-US" w:eastAsia="zh-CN"/>
        </w:rPr>
        <w:t xml:space="preserve"> a relatively accurate CSI feedback</w:t>
      </w:r>
      <w:r>
        <w:rPr>
          <w:rFonts w:hint="eastAsia"/>
          <w:iCs/>
          <w:lang w:val="en-US" w:eastAsia="zh-CN"/>
        </w:rPr>
        <w:t>.</w:t>
      </w:r>
      <w:bookmarkEnd w:id="188"/>
      <w:bookmarkEnd w:id="189"/>
      <w:bookmarkEnd w:id="190"/>
      <w:bookmarkEnd w:id="191"/>
      <w:bookmarkEnd w:id="192"/>
      <w:bookmarkEnd w:id="193"/>
      <w:bookmarkEnd w:id="194"/>
      <w:bookmarkEnd w:id="195"/>
    </w:p>
    <w:p>
      <w:pPr>
        <w:spacing w:before="120" w:after="120"/>
        <w:rPr>
          <w:iCs/>
        </w:rPr>
      </w:pPr>
      <w:r>
        <w:rPr>
          <w:rFonts w:hint="eastAsia"/>
          <w:iCs/>
        </w:rPr>
        <w:t xml:space="preserve">Similar to spatial domain enhancement, the CSI reporting with multiple power offsets can be configured as multiple sub-configurations, each sub-configuration corresponding to one power offset value. Therefore, a same framework </w:t>
      </w:r>
      <w:r>
        <w:rPr>
          <w:bCs/>
        </w:rPr>
        <w:t xml:space="preserve">that enables a UE to report </w:t>
      </w:r>
      <w:r>
        <w:rPr>
          <w:rFonts w:hint="eastAsia"/>
          <w:bCs/>
        </w:rPr>
        <w:t>multiple</w:t>
      </w:r>
      <w:r>
        <w:rPr>
          <w:bCs/>
        </w:rPr>
        <w:t xml:space="preserve"> CSI(s) in one reporting instance where each CSI corresponds to one </w:t>
      </w:r>
      <w:r>
        <w:rPr>
          <w:rFonts w:hint="eastAsia"/>
          <w:bCs/>
        </w:rPr>
        <w:t>power offset</w:t>
      </w:r>
      <w:r>
        <w:rPr>
          <w:rFonts w:hint="eastAsia"/>
          <w:iCs/>
        </w:rPr>
        <w:t xml:space="preserve"> value </w:t>
      </w:r>
      <w:r>
        <w:rPr>
          <w:rFonts w:hint="eastAsia"/>
          <w:bCs/>
        </w:rPr>
        <w:t>should be supported</w:t>
      </w:r>
      <w:r>
        <w:rPr>
          <w:bCs/>
        </w:rPr>
        <w:t>.</w:t>
      </w:r>
      <w:r>
        <w:rPr>
          <w:rFonts w:hint="eastAsia"/>
          <w:iCs/>
        </w:rPr>
        <w:t xml:space="preserve"> </w:t>
      </w:r>
    </w:p>
    <w:p>
      <w:pPr>
        <w:pStyle w:val="31"/>
        <w:tabs>
          <w:tab w:val="clear" w:pos="0"/>
        </w:tabs>
        <w:spacing w:before="120" w:after="120"/>
        <w:rPr>
          <w:lang w:val="en-US" w:eastAsia="zh-CN"/>
        </w:rPr>
      </w:pPr>
      <w:r>
        <w:rPr>
          <w:lang w:val="en-US" w:eastAsia="zh-CN"/>
        </w:rPr>
        <w:t xml:space="preserve"> </w:t>
      </w:r>
      <w:bookmarkStart w:id="196" w:name="_Toc22848"/>
      <w:bookmarkStart w:id="197" w:name="_Toc2635"/>
      <w:bookmarkStart w:id="198" w:name="_Toc9643"/>
      <w:bookmarkStart w:id="199" w:name="_Toc10637"/>
      <w:bookmarkStart w:id="200" w:name="_Toc25863"/>
      <w:bookmarkStart w:id="201" w:name="_Toc1128"/>
      <w:bookmarkStart w:id="202" w:name="_Toc11778"/>
      <w:bookmarkStart w:id="203" w:name="_Toc164"/>
      <w:bookmarkStart w:id="204" w:name="_Toc23875"/>
      <w:bookmarkStart w:id="205" w:name="_Toc4204"/>
      <w:r>
        <w:rPr>
          <w:lang w:val="en-US" w:eastAsia="zh-CN"/>
        </w:rPr>
        <w:t>Multi</w:t>
      </w:r>
      <w:r>
        <w:rPr>
          <w:rFonts w:hint="eastAsia"/>
          <w:lang w:val="en-US" w:eastAsia="zh-CN"/>
        </w:rPr>
        <w:t xml:space="preserve">ple </w:t>
      </w:r>
      <w:r>
        <w:rPr>
          <w:lang w:val="en-US" w:eastAsia="zh-CN"/>
        </w:rPr>
        <w:t>CSI</w:t>
      </w:r>
      <w:r>
        <w:rPr>
          <w:rFonts w:hint="eastAsia"/>
          <w:lang w:val="en-US" w:eastAsia="zh-CN"/>
        </w:rPr>
        <w:t>s</w:t>
      </w:r>
      <w:r>
        <w:rPr>
          <w:lang w:val="en-US" w:eastAsia="zh-CN"/>
        </w:rPr>
        <w:t xml:space="preserve"> </w:t>
      </w:r>
      <w:r>
        <w:rPr>
          <w:rFonts w:hint="eastAsia"/>
          <w:lang w:val="en-US" w:eastAsia="zh-CN"/>
        </w:rPr>
        <w:t>corresponding to multiple power offsets in one reporting</w:t>
      </w:r>
      <w:r>
        <w:rPr>
          <w:lang w:val="en-US" w:eastAsia="zh-CN"/>
        </w:rPr>
        <w:t xml:space="preserve"> should be supported.</w:t>
      </w:r>
      <w:bookmarkEnd w:id="196"/>
      <w:bookmarkEnd w:id="197"/>
      <w:bookmarkEnd w:id="198"/>
      <w:bookmarkEnd w:id="199"/>
      <w:bookmarkEnd w:id="200"/>
      <w:bookmarkEnd w:id="201"/>
      <w:bookmarkEnd w:id="202"/>
      <w:bookmarkEnd w:id="203"/>
      <w:bookmarkEnd w:id="204"/>
      <w:bookmarkEnd w:id="205"/>
    </w:p>
    <w:p>
      <w:pPr>
        <w:spacing w:before="120" w:after="120"/>
        <w:rPr>
          <w:iCs/>
        </w:rPr>
      </w:pPr>
      <w:r>
        <w:rPr>
          <w:rFonts w:hint="eastAsia"/>
          <w:iCs/>
        </w:rPr>
        <w:t>Sim</w:t>
      </w:r>
      <w:r>
        <w:rPr>
          <w:iCs/>
        </w:rPr>
        <w:t xml:space="preserve">ilar with multi-CSI report in spatial domain, the UE complexity and CSI overhead can be reduced by utilizing the properties of the CSIs of different power offsets. First of all, it is clear that the CQI will be impacted due to the change of hypothetical power offset between PDSCH and CSI-RS. In this case, differential CQI can be considered to reduce UCI overhead. And the precoding matrices corresponding to different power offset values are highly correlated. Therefore, common PMI can be also considered in multi-CSI reporting. Regarding the impact on RI, since the reported CSI is a combination of RI, PMI, CQI, if the CQI changes due to different power offset values, it may in turn has impact on RI. Accordingly, RI will also be changed. So differential RI can be considered. </w:t>
      </w:r>
    </w:p>
    <w:p>
      <w:pPr>
        <w:spacing w:before="120" w:after="120"/>
        <w:rPr>
          <w:iCs/>
        </w:rPr>
      </w:pPr>
      <w:r>
        <w:rPr>
          <w:iCs/>
        </w:rPr>
        <w:t>To this end, the reported content for multi-CSI in one report in power domain adaptation is the same with that in spatial domain adaptation.</w:t>
      </w:r>
    </w:p>
    <w:p>
      <w:pPr>
        <w:pStyle w:val="31"/>
        <w:tabs>
          <w:tab w:val="clear" w:pos="0"/>
        </w:tabs>
        <w:spacing w:before="120" w:after="120"/>
        <w:rPr>
          <w:lang w:val="en-US" w:eastAsia="zh-CN"/>
        </w:rPr>
      </w:pPr>
      <w:bookmarkStart w:id="206" w:name="_Toc24802"/>
      <w:r>
        <w:rPr>
          <w:lang w:val="en-US" w:eastAsia="zh-CN"/>
        </w:rPr>
        <w:t xml:space="preserve">For </w:t>
      </w:r>
      <w:r>
        <w:t xml:space="preserve">multi-CSI in one reporting </w:t>
      </w:r>
      <w:r>
        <w:rPr>
          <w:lang w:val="en-US" w:eastAsia="zh-CN"/>
        </w:rPr>
        <w:t>corresponding to multiple power offset</w:t>
      </w:r>
      <w:r>
        <w:rPr>
          <w:rFonts w:hint="eastAsia"/>
          <w:lang w:val="en-US" w:eastAsia="zh-CN"/>
        </w:rPr>
        <w:t xml:space="preserve"> values</w:t>
      </w:r>
      <w:r>
        <w:rPr>
          <w:lang w:val="en-US" w:eastAsia="zh-CN"/>
        </w:rPr>
        <w:t>, reporting common CRI, differential RI, common PMI, and differential CQI can be considered</w:t>
      </w:r>
      <w:r>
        <w:rPr>
          <w:rFonts w:hint="eastAsia"/>
          <w:lang w:val="en-US" w:eastAsia="zh-CN"/>
        </w:rPr>
        <w:t>.</w:t>
      </w:r>
      <w:bookmarkEnd w:id="206"/>
    </w:p>
    <w:p>
      <w:pPr>
        <w:spacing w:before="120" w:after="120"/>
        <w:rPr>
          <w:iCs/>
        </w:rPr>
      </w:pPr>
    </w:p>
    <w:p>
      <w:pPr>
        <w:spacing w:before="120" w:after="120"/>
      </w:pPr>
      <w:r>
        <w:rPr>
          <w:rFonts w:hint="eastAsia"/>
          <w:iCs/>
        </w:rPr>
        <w:t>Addition</w:t>
      </w:r>
      <w:r>
        <w:rPr>
          <w:iCs/>
        </w:rPr>
        <w:t>a</w:t>
      </w:r>
      <w:r>
        <w:rPr>
          <w:rFonts w:hint="eastAsia"/>
          <w:iCs/>
        </w:rPr>
        <w:t>l</w:t>
      </w:r>
      <w:r>
        <w:rPr>
          <w:iCs/>
        </w:rPr>
        <w:t>ly</w:t>
      </w:r>
      <w:r>
        <w:rPr>
          <w:rFonts w:hint="eastAsia"/>
          <w:iCs/>
        </w:rPr>
        <w:t xml:space="preserve">, </w:t>
      </w:r>
      <w:r>
        <w:rPr>
          <w:rFonts w:hint="eastAsia"/>
        </w:rPr>
        <w:t xml:space="preserve">a </w:t>
      </w:r>
      <w:r>
        <w:t xml:space="preserve">dynamic indication </w:t>
      </w:r>
      <w:r>
        <w:rPr>
          <w:rFonts w:hint="eastAsia"/>
        </w:rPr>
        <w:t xml:space="preserve">can be used to indicates the activation/deactivation of one or more power offset values, so that the UEs can adjust CSI measurement and reporting by the indication information to adapt to the dynamic power adjustment. And both the calculation complexity and the report payload can be further reduced. </w:t>
      </w:r>
    </w:p>
    <w:p>
      <w:pPr>
        <w:pStyle w:val="31"/>
        <w:tabs>
          <w:tab w:val="clear" w:pos="0"/>
        </w:tabs>
        <w:spacing w:before="120" w:after="120"/>
      </w:pPr>
      <w:bookmarkStart w:id="207" w:name="_Toc19601"/>
      <w:bookmarkStart w:id="208" w:name="_Toc19387"/>
      <w:bookmarkStart w:id="209" w:name="_Toc17217"/>
      <w:bookmarkStart w:id="210" w:name="_Toc22918"/>
      <w:bookmarkStart w:id="211" w:name="_Toc18009"/>
      <w:bookmarkStart w:id="212" w:name="_Toc28536"/>
      <w:bookmarkStart w:id="213" w:name="_Toc18058"/>
      <w:bookmarkStart w:id="214" w:name="_Toc25592"/>
      <w:bookmarkStart w:id="215" w:name="_Toc16256"/>
      <w:bookmarkStart w:id="216" w:name="_Toc19474"/>
      <w:r>
        <w:rPr>
          <w:rFonts w:hint="eastAsia"/>
          <w:lang w:val="en-US" w:eastAsia="zh-CN"/>
        </w:rPr>
        <w:t>D</w:t>
      </w:r>
      <w:r>
        <w:t>ynamic indication</w:t>
      </w:r>
      <w:r>
        <w:rPr>
          <w:rFonts w:hint="eastAsia"/>
          <w:lang w:val="en-US" w:eastAsia="zh-CN"/>
        </w:rPr>
        <w:t xml:space="preserve"> can be considered for power domain enhancement.</w:t>
      </w:r>
      <w:bookmarkEnd w:id="207"/>
      <w:bookmarkEnd w:id="208"/>
      <w:bookmarkEnd w:id="209"/>
      <w:bookmarkEnd w:id="210"/>
      <w:bookmarkEnd w:id="211"/>
      <w:bookmarkEnd w:id="212"/>
      <w:bookmarkEnd w:id="213"/>
      <w:bookmarkEnd w:id="214"/>
      <w:bookmarkEnd w:id="215"/>
      <w:bookmarkEnd w:id="216"/>
    </w:p>
    <w:p>
      <w:pPr>
        <w:spacing w:before="120" w:after="120"/>
      </w:pPr>
    </w:p>
    <w:p>
      <w:pPr>
        <w:pStyle w:val="2"/>
        <w:numPr>
          <w:ilvl w:val="0"/>
          <w:numId w:val="10"/>
        </w:numPr>
        <w:spacing w:before="120" w:after="120"/>
        <w:rPr>
          <w:rFonts w:ascii="Times New Roman" w:hAnsi="Times New Roman" w:eastAsia="宋体"/>
          <w:b/>
          <w:bCs/>
          <w:sz w:val="28"/>
          <w:szCs w:val="28"/>
        </w:rPr>
      </w:pPr>
      <w:r>
        <w:rPr>
          <w:rFonts w:hint="eastAsia" w:ascii="Times New Roman" w:hAnsi="Times New Roman" w:eastAsia="宋体"/>
          <w:b/>
          <w:bCs/>
          <w:sz w:val="28"/>
          <w:szCs w:val="28"/>
        </w:rPr>
        <w:t xml:space="preserve">Discussion on the impact </w:t>
      </w:r>
      <w:r>
        <w:rPr>
          <w:rFonts w:ascii="Times New Roman" w:hAnsi="Times New Roman" w:eastAsia="宋体"/>
          <w:b/>
          <w:bCs/>
          <w:sz w:val="28"/>
          <w:szCs w:val="28"/>
        </w:rPr>
        <w:t xml:space="preserve">of spatial domain adaptation </w:t>
      </w:r>
      <w:r>
        <w:rPr>
          <w:rFonts w:hint="eastAsia" w:ascii="Times New Roman" w:hAnsi="Times New Roman" w:eastAsia="宋体"/>
          <w:b/>
          <w:bCs/>
          <w:sz w:val="28"/>
          <w:szCs w:val="28"/>
        </w:rPr>
        <w:t>on beam management</w:t>
      </w:r>
    </w:p>
    <w:p>
      <w:pPr>
        <w:spacing w:before="120" w:after="120"/>
        <w:rPr>
          <w:szCs w:val="21"/>
        </w:rPr>
      </w:pPr>
      <w:r>
        <w:rPr>
          <w:rFonts w:hint="eastAsia"/>
          <w:szCs w:val="21"/>
        </w:rPr>
        <w:t xml:space="preserve">For the CSI-RS resources configured for L1-RSRP and L1-SINR computation, the </w:t>
      </w:r>
      <w:r>
        <w:rPr>
          <w:color w:val="000000" w:themeColor="text1"/>
          <w14:textFill>
            <w14:solidFill>
              <w14:schemeClr w14:val="tx1"/>
            </w14:solidFill>
          </w14:textFill>
        </w:rPr>
        <w:t>UE can only be configured with the same number (1 or 2) of ports</w:t>
      </w:r>
      <w:r>
        <w:rPr>
          <w:color w:val="000000" w:themeColor="text1"/>
          <w:lang w:eastAsia="ko-KR"/>
          <w14:textFill>
            <w14:solidFill>
              <w14:schemeClr w14:val="tx1"/>
            </w14:solidFill>
          </w14:textFill>
        </w:rPr>
        <w:t xml:space="preserve"> </w:t>
      </w:r>
      <w:r>
        <w:rPr>
          <w:color w:val="000000" w:themeColor="text1"/>
          <w14:textFill>
            <w14:solidFill>
              <w14:schemeClr w14:val="tx1"/>
            </w14:solidFill>
          </w14:textFill>
        </w:rPr>
        <w:t xml:space="preserve">for all </w:t>
      </w:r>
      <w:r>
        <w:rPr>
          <w:rFonts w:eastAsia="MS Mincho"/>
          <w:color w:val="000000" w:themeColor="text1"/>
          <w14:textFill>
            <w14:solidFill>
              <w14:schemeClr w14:val="tx1"/>
            </w14:solidFill>
          </w14:textFill>
        </w:rPr>
        <w:t>CSI-RS resources within the CSI-RS resource</w:t>
      </w:r>
      <w:r>
        <w:rPr>
          <w:rFonts w:hint="eastAsia"/>
          <w:color w:val="000000" w:themeColor="text1"/>
          <w14:textFill>
            <w14:solidFill>
              <w14:schemeClr w14:val="tx1"/>
            </w14:solidFill>
          </w14:textFill>
        </w:rPr>
        <w:t xml:space="preserve"> </w:t>
      </w:r>
      <w:r>
        <w:rPr>
          <w:rFonts w:eastAsia="MS Mincho"/>
          <w:color w:val="000000" w:themeColor="text1"/>
          <w14:textFill>
            <w14:solidFill>
              <w14:schemeClr w14:val="tx1"/>
            </w14:solidFill>
          </w14:textFill>
        </w:rPr>
        <w:t>set</w:t>
      </w:r>
      <w:r>
        <w:rPr>
          <w:rFonts w:hint="eastAsia"/>
          <w:color w:val="000000" w:themeColor="text1"/>
          <w14:textFill>
            <w14:solidFill>
              <w14:schemeClr w14:val="tx1"/>
            </w14:solidFill>
          </w14:textFill>
        </w:rPr>
        <w:t xml:space="preserve">. </w:t>
      </w:r>
      <w:r>
        <w:rPr>
          <w:rFonts w:hint="eastAsia"/>
          <w:szCs w:val="21"/>
        </w:rPr>
        <w:t xml:space="preserve">In 3GPP RAN1#112 meeting, two types mapping methods between </w:t>
      </w:r>
      <w:r>
        <w:rPr>
          <w:szCs w:val="21"/>
        </w:rPr>
        <w:t>antenna elements</w:t>
      </w:r>
      <w:r>
        <w:rPr>
          <w:rFonts w:hint="eastAsia"/>
          <w:szCs w:val="21"/>
        </w:rPr>
        <w:t xml:space="preserve"> and </w:t>
      </w:r>
      <w:r>
        <w:rPr>
          <w:szCs w:val="21"/>
        </w:rPr>
        <w:t>logical antenna port</w:t>
      </w:r>
      <w:r>
        <w:rPr>
          <w:rFonts w:hint="eastAsia"/>
          <w:szCs w:val="21"/>
        </w:rPr>
        <w:t xml:space="preserve"> were discussed as follows.</w:t>
      </w:r>
    </w:p>
    <w:tbl>
      <w:tblPr>
        <w:tblStyle w:val="1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jc w:val="center"/>
        </w:trPr>
        <w:tc>
          <w:tcPr>
            <w:tcW w:w="9740" w:type="dxa"/>
          </w:tcPr>
          <w:p>
            <w:pPr>
              <w:spacing w:before="0" w:beforeLines="0" w:after="0" w:afterLines="0" w:line="288" w:lineRule="auto"/>
              <w:rPr>
                <w:b/>
                <w:bCs/>
                <w:szCs w:val="21"/>
                <w:highlight w:val="green"/>
              </w:rPr>
            </w:pPr>
            <w:r>
              <w:rPr>
                <w:b/>
                <w:bCs/>
                <w:szCs w:val="21"/>
                <w:highlight w:val="green"/>
              </w:rPr>
              <w:t>Agreement</w:t>
            </w:r>
          </w:p>
          <w:p>
            <w:pPr>
              <w:spacing w:before="0" w:beforeLines="0" w:after="0" w:afterLines="0" w:line="288" w:lineRule="auto"/>
              <w:rPr>
                <w:szCs w:val="21"/>
              </w:rPr>
            </w:pPr>
            <w:r>
              <w:rPr>
                <w:szCs w:val="21"/>
              </w:rPr>
              <w:t>For the purpose of further discussions in RAN1 on NES spatial domain adaptations, consider the following cases</w:t>
            </w:r>
          </w:p>
          <w:p>
            <w:pPr>
              <w:numPr>
                <w:ilvl w:val="0"/>
                <w:numId w:val="28"/>
              </w:numPr>
              <w:spacing w:before="0" w:beforeLines="0" w:after="0" w:afterLines="0" w:line="288" w:lineRule="auto"/>
              <w:rPr>
                <w:szCs w:val="21"/>
              </w:rPr>
            </w:pPr>
            <w:r>
              <w:rPr>
                <w:szCs w:val="21"/>
              </w:rPr>
              <w:t>Type 1: all antenna elements associated to a logical antenna port is disabled/enabled</w:t>
            </w:r>
          </w:p>
          <w:p>
            <w:pPr>
              <w:numPr>
                <w:ilvl w:val="0"/>
                <w:numId w:val="28"/>
              </w:numPr>
              <w:spacing w:before="0" w:beforeLines="0" w:after="0" w:afterLines="0" w:line="288" w:lineRule="auto"/>
              <w:rPr>
                <w:szCs w:val="21"/>
              </w:rPr>
            </w:pPr>
            <w:r>
              <w:rPr>
                <w:szCs w:val="21"/>
              </w:rPr>
              <w:t>Type 2: part/subset of antenna elements associated to a logical antenna port is disabled/enabled</w:t>
            </w:r>
          </w:p>
        </w:tc>
      </w:tr>
    </w:tbl>
    <w:p>
      <w:pPr>
        <w:spacing w:before="120" w:after="120"/>
        <w:rPr>
          <w:szCs w:val="21"/>
        </w:rPr>
      </w:pPr>
      <w:r>
        <w:rPr>
          <w:rFonts w:hint="eastAsia"/>
          <w:szCs w:val="21"/>
        </w:rPr>
        <w:t>With type 1 mapping method, even the dynamic antenna port adaptation is used for network energy saving, the antenna port configuration of CSI-RS resources used for L1-RSRP and L1-SINR computation does not need to be impacted.</w:t>
      </w:r>
    </w:p>
    <w:p>
      <w:pPr>
        <w:pStyle w:val="30"/>
        <w:tabs>
          <w:tab w:val="clear" w:pos="0"/>
          <w:tab w:val="clear" w:pos="420"/>
          <w:tab w:val="clear" w:pos="4820"/>
        </w:tabs>
        <w:adjustRightInd w:val="0"/>
        <w:snapToGrid w:val="0"/>
        <w:spacing w:before="120" w:after="120"/>
        <w:rPr>
          <w:rFonts w:eastAsia="宋体"/>
          <w:color w:val="000000" w:themeColor="text1"/>
          <w:lang w:val="en-US" w:eastAsia="zh-CN"/>
          <w14:textFill>
            <w14:solidFill>
              <w14:schemeClr w14:val="tx1"/>
            </w14:solidFill>
          </w14:textFill>
        </w:rPr>
      </w:pPr>
      <w:bookmarkStart w:id="217" w:name="_Toc2716"/>
      <w:bookmarkStart w:id="218" w:name="_Toc32396"/>
      <w:bookmarkStart w:id="219" w:name="_Toc12986"/>
      <w:bookmarkStart w:id="220" w:name="_Toc17696"/>
      <w:bookmarkStart w:id="221" w:name="_Toc127521890"/>
      <w:bookmarkStart w:id="222" w:name="_Toc26641"/>
      <w:bookmarkStart w:id="223" w:name="_Toc12193"/>
      <w:bookmarkStart w:id="224" w:name="_Toc168"/>
      <w:bookmarkStart w:id="225" w:name="_Toc8751"/>
      <w:bookmarkStart w:id="226" w:name="_Toc23299"/>
      <w:bookmarkStart w:id="227" w:name="_Toc7890"/>
      <w:bookmarkStart w:id="228" w:name="_Toc7082"/>
      <w:r>
        <w:rPr>
          <w:rFonts w:eastAsia="宋体"/>
          <w:color w:val="000000" w:themeColor="text1"/>
          <w:lang w:val="en-US" w:eastAsia="zh-CN"/>
          <w14:textFill>
            <w14:solidFill>
              <w14:schemeClr w14:val="tx1"/>
            </w14:solidFill>
          </w14:textFill>
        </w:rPr>
        <w:t xml:space="preserve">The </w:t>
      </w:r>
      <w:r>
        <w:rPr>
          <w:rFonts w:hint="eastAsia" w:eastAsia="宋体"/>
          <w:color w:val="000000" w:themeColor="text1"/>
          <w:lang w:val="en-US" w:eastAsia="zh-CN"/>
          <w14:textFill>
            <w14:solidFill>
              <w14:schemeClr w14:val="tx1"/>
            </w14:solidFill>
          </w14:textFill>
        </w:rPr>
        <w:t>spatial element</w:t>
      </w:r>
      <w:r>
        <w:rPr>
          <w:rFonts w:eastAsia="宋体"/>
          <w:color w:val="000000" w:themeColor="text1"/>
          <w:lang w:val="en-US" w:eastAsia="zh-CN"/>
          <w14:textFill>
            <w14:solidFill>
              <w14:schemeClr w14:val="tx1"/>
            </w14:solidFill>
          </w14:textFill>
        </w:rPr>
        <w:t xml:space="preserve"> adaptation </w:t>
      </w:r>
      <w:r>
        <w:rPr>
          <w:rFonts w:hint="eastAsia" w:eastAsia="宋体"/>
          <w:color w:val="000000" w:themeColor="text1"/>
          <w:lang w:val="en-US" w:eastAsia="zh-CN"/>
          <w14:textFill>
            <w14:solidFill>
              <w14:schemeClr w14:val="tx1"/>
            </w14:solidFill>
          </w14:textFill>
        </w:rPr>
        <w:t xml:space="preserve">with type 1 mapping method </w:t>
      </w:r>
      <w:r>
        <w:rPr>
          <w:rFonts w:eastAsia="宋体"/>
          <w:color w:val="000000" w:themeColor="text1"/>
          <w:lang w:val="en-US" w:eastAsia="zh-CN"/>
          <w14:textFill>
            <w14:solidFill>
              <w14:schemeClr w14:val="tx1"/>
            </w14:solidFill>
          </w14:textFill>
        </w:rPr>
        <w:t>does not impact the antenna port configuration of CSI-RS resources for beam management.</w:t>
      </w:r>
      <w:bookmarkEnd w:id="217"/>
      <w:bookmarkEnd w:id="218"/>
      <w:bookmarkEnd w:id="219"/>
      <w:bookmarkEnd w:id="220"/>
      <w:bookmarkEnd w:id="221"/>
      <w:bookmarkEnd w:id="222"/>
      <w:bookmarkEnd w:id="223"/>
      <w:bookmarkEnd w:id="224"/>
      <w:bookmarkEnd w:id="225"/>
      <w:bookmarkEnd w:id="226"/>
      <w:bookmarkEnd w:id="227"/>
      <w:bookmarkEnd w:id="228"/>
      <w:r>
        <w:rPr>
          <w:rFonts w:eastAsia="宋体"/>
          <w:color w:val="000000" w:themeColor="text1"/>
          <w:lang w:val="en-US" w:eastAsia="zh-CN"/>
          <w14:textFill>
            <w14:solidFill>
              <w14:schemeClr w14:val="tx1"/>
            </w14:solidFill>
          </w14:textFill>
        </w:rPr>
        <w:t xml:space="preserve"> </w:t>
      </w:r>
    </w:p>
    <w:p>
      <w:pPr>
        <w:spacing w:before="120" w:after="120"/>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For type 2 mapping method, the CSI-RS </w:t>
      </w:r>
      <w:r>
        <w:rPr>
          <w:color w:val="000000" w:themeColor="text1"/>
          <w14:textFill>
            <w14:solidFill>
              <w14:schemeClr w14:val="tx1"/>
            </w14:solidFill>
          </w14:textFill>
        </w:rPr>
        <w:t>resource</w:t>
      </w:r>
      <w:r>
        <w:rPr>
          <w:rFonts w:hint="eastAsia"/>
          <w:color w:val="000000" w:themeColor="text1"/>
          <w14:textFill>
            <w14:solidFill>
              <w14:schemeClr w14:val="tx1"/>
            </w14:solidFill>
          </w14:textFill>
        </w:rPr>
        <w:t>s</w:t>
      </w:r>
      <w:r>
        <w:rPr>
          <w:color w:val="000000" w:themeColor="text1"/>
          <w14:textFill>
            <w14:solidFill>
              <w14:schemeClr w14:val="tx1"/>
            </w14:solidFill>
          </w14:textFill>
        </w:rPr>
        <w:t xml:space="preserve"> for beam management</w:t>
      </w:r>
      <w:r>
        <w:rPr>
          <w:rFonts w:hint="eastAsia"/>
          <w:color w:val="000000" w:themeColor="text1"/>
          <w14:textFill>
            <w14:solidFill>
              <w14:schemeClr w14:val="tx1"/>
            </w14:solidFill>
          </w14:textFill>
        </w:rPr>
        <w:t xml:space="preserve"> </w:t>
      </w:r>
      <w:r>
        <w:rPr>
          <w:color w:val="000000" w:themeColor="text1"/>
          <w14:textFill>
            <w14:solidFill>
              <w14:schemeClr w14:val="tx1"/>
            </w14:solidFill>
          </w14:textFill>
        </w:rPr>
        <w:t>may be</w:t>
      </w:r>
      <w:r>
        <w:rPr>
          <w:rFonts w:hint="eastAsia"/>
          <w:color w:val="000000" w:themeColor="text1"/>
          <w14:textFill>
            <w14:solidFill>
              <w14:schemeClr w14:val="tx1"/>
            </w14:solidFill>
          </w14:textFill>
        </w:rPr>
        <w:t xml:space="preserve"> affected by the dynamic spatial element adaptation. However, th</w:t>
      </w:r>
      <w:r>
        <w:rPr>
          <w:color w:val="000000" w:themeColor="text1"/>
          <w14:textFill>
            <w14:solidFill>
              <w14:schemeClr w14:val="tx1"/>
            </w14:solidFill>
          </w14:textFill>
        </w:rPr>
        <w:t>is</w:t>
      </w:r>
      <w:r>
        <w:rPr>
          <w:rFonts w:hint="eastAsia"/>
          <w:color w:val="000000" w:themeColor="text1"/>
          <w14:textFill>
            <w14:solidFill>
              <w14:schemeClr w14:val="tx1"/>
            </w14:solidFill>
          </w14:textFill>
        </w:rPr>
        <w:t xml:space="preserve"> impact brought by the spatial element adaptation can be avoided by NW implementation. The gNB does not need to perform spatial element adaptation for the CSI-RS resources configured for beam management, and a small amount of energy saving gain is sacrificed to avoid </w:t>
      </w:r>
      <w:r>
        <w:rPr>
          <w:color w:val="000000" w:themeColor="text1"/>
          <w14:textFill>
            <w14:solidFill>
              <w14:schemeClr w14:val="tx1"/>
            </w14:solidFill>
          </w14:textFill>
        </w:rPr>
        <w:t xml:space="preserve">the </w:t>
      </w:r>
      <w:r>
        <w:rPr>
          <w:rFonts w:hint="eastAsia"/>
          <w:color w:val="000000" w:themeColor="text1"/>
          <w14:textFill>
            <w14:solidFill>
              <w14:schemeClr w14:val="tx1"/>
            </w14:solidFill>
          </w14:textFill>
        </w:rPr>
        <w:t>impact.</w:t>
      </w:r>
    </w:p>
    <w:p>
      <w:pPr>
        <w:pStyle w:val="30"/>
        <w:tabs>
          <w:tab w:val="clear" w:pos="0"/>
          <w:tab w:val="clear" w:pos="420"/>
          <w:tab w:val="clear" w:pos="4820"/>
        </w:tabs>
        <w:adjustRightInd w:val="0"/>
        <w:snapToGrid w:val="0"/>
        <w:spacing w:before="120" w:after="120"/>
        <w:rPr>
          <w:color w:val="000000" w:themeColor="text1"/>
          <w:lang w:val="en-US" w:eastAsia="zh-CN"/>
          <w14:textFill>
            <w14:solidFill>
              <w14:schemeClr w14:val="tx1"/>
            </w14:solidFill>
          </w14:textFill>
        </w:rPr>
      </w:pPr>
      <w:bookmarkStart w:id="229" w:name="_Toc22364"/>
      <w:bookmarkStart w:id="230" w:name="_Toc32318"/>
      <w:bookmarkStart w:id="231" w:name="_Toc31231"/>
      <w:bookmarkStart w:id="232" w:name="_Toc22090"/>
      <w:bookmarkStart w:id="233" w:name="_Toc27873"/>
      <w:bookmarkStart w:id="234" w:name="_Toc22865"/>
      <w:bookmarkStart w:id="235" w:name="_Toc28952"/>
      <w:bookmarkStart w:id="236" w:name="_Toc12477"/>
      <w:r>
        <w:rPr>
          <w:rFonts w:hint="eastAsia"/>
          <w:color w:val="000000" w:themeColor="text1"/>
          <w:lang w:val="en-US" w:eastAsia="zh-CN"/>
          <w14:textFill>
            <w14:solidFill>
              <w14:schemeClr w14:val="tx1"/>
            </w14:solidFill>
          </w14:textFill>
        </w:rPr>
        <w:t>The impact on beam management with type 2 mapping method can be avoided by NW implementation.</w:t>
      </w:r>
      <w:bookmarkEnd w:id="229"/>
      <w:bookmarkEnd w:id="230"/>
      <w:bookmarkEnd w:id="231"/>
      <w:bookmarkEnd w:id="232"/>
      <w:bookmarkEnd w:id="233"/>
      <w:bookmarkEnd w:id="234"/>
      <w:bookmarkEnd w:id="235"/>
      <w:bookmarkEnd w:id="236"/>
    </w:p>
    <w:p>
      <w:pPr>
        <w:spacing w:before="120" w:after="120"/>
        <w:rPr>
          <w:color w:val="000000" w:themeColor="text1"/>
          <w14:textFill>
            <w14:solidFill>
              <w14:schemeClr w14:val="tx1"/>
            </w14:solidFill>
          </w14:textFill>
        </w:rPr>
      </w:pPr>
      <w:r>
        <w:rPr>
          <w:rFonts w:hint="eastAsia"/>
        </w:rPr>
        <w:t xml:space="preserve">In conclusion, the necessity of enhancement on beam management is unclear, and considering the limited TUs and </w:t>
      </w:r>
      <w:r>
        <w:rPr>
          <w:rFonts w:hint="eastAsia"/>
          <w:color w:val="000000" w:themeColor="text1"/>
          <w14:textFill>
            <w14:solidFill>
              <w14:schemeClr w14:val="tx1"/>
            </w14:solidFill>
          </w14:textFill>
        </w:rPr>
        <w:t>heavy workload, we think the enhancement on beam management should be deprioritized.</w:t>
      </w:r>
    </w:p>
    <w:p>
      <w:pPr>
        <w:pStyle w:val="31"/>
        <w:tabs>
          <w:tab w:val="clear" w:pos="0"/>
        </w:tabs>
        <w:spacing w:before="120" w:after="120"/>
        <w:rPr>
          <w:rFonts w:eastAsia="宋体"/>
          <w:color w:val="000000" w:themeColor="text1"/>
          <w:lang w:val="en-US" w:eastAsia="zh-CN"/>
          <w14:textFill>
            <w14:solidFill>
              <w14:schemeClr w14:val="tx1"/>
            </w14:solidFill>
          </w14:textFill>
        </w:rPr>
      </w:pPr>
      <w:bookmarkStart w:id="237" w:name="_Toc31712"/>
      <w:bookmarkStart w:id="238" w:name="_Toc16458"/>
      <w:bookmarkStart w:id="239" w:name="_Toc8536"/>
      <w:bookmarkStart w:id="240" w:name="_Toc21536"/>
      <w:bookmarkStart w:id="241" w:name="_Toc4479"/>
      <w:bookmarkStart w:id="242" w:name="_Toc15793"/>
      <w:bookmarkStart w:id="243" w:name="_Toc13367"/>
      <w:bookmarkStart w:id="244" w:name="_Toc31725"/>
      <w:bookmarkStart w:id="245" w:name="_Toc29876"/>
      <w:bookmarkStart w:id="246" w:name="_Toc13187"/>
      <w:r>
        <w:rPr>
          <w:rFonts w:hint="eastAsia" w:eastAsia="宋体"/>
          <w:color w:val="000000" w:themeColor="text1"/>
          <w:lang w:val="en-US" w:eastAsia="zh-CN"/>
          <w14:textFill>
            <w14:solidFill>
              <w14:schemeClr w14:val="tx1"/>
            </w14:solidFill>
          </w14:textFill>
        </w:rPr>
        <w:t xml:space="preserve">The enhancement on beam management </w:t>
      </w:r>
      <w:r>
        <w:rPr>
          <w:rFonts w:eastAsia="宋体"/>
          <w:color w:val="000000" w:themeColor="text1"/>
          <w:lang w:val="en-US" w:eastAsia="zh-CN"/>
          <w14:textFill>
            <w14:solidFill>
              <w14:schemeClr w14:val="tx1"/>
            </w14:solidFill>
          </w14:textFill>
        </w:rPr>
        <w:t>should</w:t>
      </w:r>
      <w:r>
        <w:rPr>
          <w:rFonts w:hint="eastAsia" w:eastAsia="宋体"/>
          <w:color w:val="000000" w:themeColor="text1"/>
          <w:lang w:val="en-US" w:eastAsia="zh-CN"/>
          <w14:textFill>
            <w14:solidFill>
              <w14:schemeClr w14:val="tx1"/>
            </w14:solidFill>
          </w14:textFill>
        </w:rPr>
        <w:t xml:space="preserve"> be deprioritized.</w:t>
      </w:r>
      <w:bookmarkEnd w:id="237"/>
      <w:bookmarkEnd w:id="238"/>
      <w:bookmarkEnd w:id="239"/>
      <w:bookmarkEnd w:id="240"/>
      <w:bookmarkEnd w:id="241"/>
      <w:bookmarkEnd w:id="242"/>
      <w:bookmarkEnd w:id="243"/>
      <w:bookmarkEnd w:id="244"/>
      <w:bookmarkEnd w:id="245"/>
      <w:bookmarkEnd w:id="246"/>
    </w:p>
    <w:p>
      <w:pPr>
        <w:spacing w:before="120" w:after="120"/>
      </w:pPr>
    </w:p>
    <w:p>
      <w:pPr>
        <w:pStyle w:val="2"/>
        <w:numPr>
          <w:ilvl w:val="0"/>
          <w:numId w:val="10"/>
        </w:numPr>
        <w:spacing w:before="120" w:after="120"/>
        <w:rPr>
          <w:rFonts w:ascii="Times New Roman" w:hAnsi="Times New Roman" w:eastAsia="宋体"/>
          <w:b/>
          <w:bCs/>
          <w:sz w:val="28"/>
          <w:szCs w:val="28"/>
        </w:rPr>
      </w:pPr>
      <w:r>
        <w:rPr>
          <w:rFonts w:ascii="Times New Roman" w:hAnsi="Times New Roman" w:eastAsia="宋体"/>
          <w:b/>
          <w:bCs/>
          <w:sz w:val="28"/>
          <w:szCs w:val="28"/>
        </w:rPr>
        <w:t>Conclusion</w:t>
      </w:r>
    </w:p>
    <w:p>
      <w:pPr>
        <w:spacing w:before="120" w:after="120"/>
        <w:rPr>
          <w:szCs w:val="22"/>
        </w:rPr>
      </w:pPr>
      <w:r>
        <w:rPr>
          <w:szCs w:val="22"/>
        </w:rPr>
        <w:t xml:space="preserve">In this contribution, we discuss the network energy saving techniques </w:t>
      </w:r>
      <w:r>
        <w:rPr>
          <w:rFonts w:hint="eastAsia"/>
          <w:szCs w:val="22"/>
        </w:rPr>
        <w:t xml:space="preserve">in spatial and power domain </w:t>
      </w:r>
      <w:r>
        <w:rPr>
          <w:szCs w:val="22"/>
        </w:rPr>
        <w:t>and have the following observations and proposals.</w:t>
      </w:r>
    </w:p>
    <w:p>
      <w:pPr>
        <w:pStyle w:val="13"/>
        <w:tabs>
          <w:tab w:val="right" w:leader="dot" w:pos="9660"/>
          <w:tab w:val="clear" w:pos="0"/>
        </w:tabs>
        <w:spacing w:before="120" w:after="120"/>
      </w:pPr>
      <w:r>
        <w:rPr>
          <w:iCs w:val="0"/>
          <w:szCs w:val="21"/>
        </w:rPr>
        <w:fldChar w:fldCharType="begin"/>
      </w:r>
      <w:r>
        <w:rPr>
          <w:iCs w:val="0"/>
          <w:szCs w:val="21"/>
        </w:rPr>
        <w:instrText xml:space="preserve">TOC \n  \t "YJ-Observation,1,sub-observation,2,3rd level observation,3" \h</w:instrText>
      </w:r>
      <w:r>
        <w:rPr>
          <w:iCs w:val="0"/>
          <w:szCs w:val="21"/>
        </w:rPr>
        <w:fldChar w:fldCharType="separate"/>
      </w:r>
      <w:r>
        <w:fldChar w:fldCharType="begin"/>
      </w:r>
      <w:r>
        <w:instrText xml:space="preserve"> HYPERLINK \l "_Toc22402" </w:instrText>
      </w:r>
      <w:r>
        <w:fldChar w:fldCharType="separate"/>
      </w:r>
      <w:r>
        <w:rPr>
          <w:rFonts w:eastAsia="宋体"/>
          <w:iCs w:val="0"/>
          <w:szCs w:val="21"/>
        </w:rPr>
        <w:t xml:space="preserve">Observation 1: </w:t>
      </w:r>
      <w:r>
        <w:rPr>
          <w:rFonts w:hint="eastAsia"/>
        </w:rPr>
        <w:t xml:space="preserve">Multi-CSI </w:t>
      </w:r>
      <w:r>
        <w:t xml:space="preserve">in one </w:t>
      </w:r>
      <w:r>
        <w:rPr>
          <w:rFonts w:hint="eastAsia"/>
        </w:rPr>
        <w:t xml:space="preserve">report provides </w:t>
      </w:r>
      <w:r>
        <w:t xml:space="preserve">additional </w:t>
      </w:r>
      <w:r>
        <w:rPr>
          <w:rFonts w:hint="eastAsia"/>
        </w:rPr>
        <w:t>17.36% ESG</w:t>
      </w:r>
      <w:r>
        <w:t xml:space="preserve"> and less UPT loss</w:t>
      </w:r>
      <w:r>
        <w:rPr>
          <w:rFonts w:hint="eastAsia"/>
        </w:rPr>
        <w:t xml:space="preserve"> compared with single CSI report.</w:t>
      </w:r>
      <w:r>
        <w:rPr>
          <w:rFonts w:hint="eastAsia"/>
        </w:rPr>
        <w:fldChar w:fldCharType="end"/>
      </w:r>
    </w:p>
    <w:p>
      <w:pPr>
        <w:pStyle w:val="13"/>
        <w:tabs>
          <w:tab w:val="right" w:leader="dot" w:pos="9660"/>
          <w:tab w:val="clear" w:pos="0"/>
        </w:tabs>
        <w:spacing w:before="120" w:after="120"/>
      </w:pPr>
      <w:r>
        <w:fldChar w:fldCharType="begin"/>
      </w:r>
      <w:r>
        <w:instrText xml:space="preserve"> HYPERLINK \l "_Toc28144" </w:instrText>
      </w:r>
      <w:r>
        <w:fldChar w:fldCharType="separate"/>
      </w:r>
      <w:r>
        <w:rPr>
          <w:rFonts w:eastAsia="宋体"/>
          <w:iCs w:val="0"/>
          <w:szCs w:val="21"/>
        </w:rPr>
        <w:t xml:space="preserve">Observation 2: </w:t>
      </w:r>
      <w:r>
        <w:rPr>
          <w:rFonts w:hint="eastAsia"/>
        </w:rPr>
        <w:t xml:space="preserve">For A1-1-revised </w:t>
      </w:r>
      <w:r>
        <w:t xml:space="preserve">CSI-RS resource </w:t>
      </w:r>
      <w:r>
        <w:rPr>
          <w:rFonts w:hint="eastAsia"/>
        </w:rPr>
        <w:t xml:space="preserve">configuration, it has the following </w:t>
      </w:r>
      <w:r>
        <w:t>pros and cons</w:t>
      </w:r>
      <w:r>
        <w:rPr>
          <w:rFonts w:hint="eastAsia"/>
        </w:rPr>
        <w:t>:</w:t>
      </w:r>
      <w:r>
        <w:rPr>
          <w:rFonts w:hint="eastAsia"/>
        </w:rPr>
        <w:fldChar w:fldCharType="end"/>
      </w:r>
    </w:p>
    <w:p>
      <w:pPr>
        <w:pStyle w:val="13"/>
        <w:tabs>
          <w:tab w:val="right" w:leader="dot" w:pos="9660"/>
          <w:tab w:val="clear" w:pos="0"/>
        </w:tabs>
        <w:spacing w:before="120" w:after="120"/>
      </w:pPr>
      <w:r>
        <w:fldChar w:fldCharType="begin"/>
      </w:r>
      <w:r>
        <w:instrText xml:space="preserve"> HYPERLINK \l "_Toc6280" </w:instrText>
      </w:r>
      <w:r>
        <w:fldChar w:fldCharType="separate"/>
      </w:r>
      <w:r>
        <w:rPr>
          <w:rFonts w:ascii="Wingdings" w:hAnsi="Wingdings"/>
        </w:rPr>
        <w:t xml:space="preserve"> </w:t>
      </w:r>
      <w:r>
        <w:t>H</w:t>
      </w:r>
      <w:r>
        <w:rPr>
          <w:rFonts w:hint="eastAsia"/>
        </w:rPr>
        <w:t xml:space="preserve">igh flexibility </w:t>
      </w:r>
      <w:r>
        <w:t xml:space="preserve">in </w:t>
      </w:r>
      <w:r>
        <w:rPr>
          <w:rFonts w:hint="eastAsia"/>
        </w:rPr>
        <w:t>CSI-RS resource configuration</w:t>
      </w:r>
      <w:r>
        <w:rPr>
          <w:rFonts w:hint="eastAsia"/>
        </w:rPr>
        <w:fldChar w:fldCharType="end"/>
      </w:r>
    </w:p>
    <w:p>
      <w:pPr>
        <w:pStyle w:val="13"/>
        <w:tabs>
          <w:tab w:val="right" w:leader="dot" w:pos="9660"/>
          <w:tab w:val="clear" w:pos="0"/>
        </w:tabs>
        <w:spacing w:before="120" w:after="120"/>
      </w:pPr>
      <w:r>
        <w:fldChar w:fldCharType="begin"/>
      </w:r>
      <w:r>
        <w:instrText xml:space="preserve"> HYPERLINK \l "_Toc30344" </w:instrText>
      </w:r>
      <w:r>
        <w:fldChar w:fldCharType="separate"/>
      </w:r>
      <w:r>
        <w:rPr>
          <w:rFonts w:ascii="Wingdings" w:hAnsi="Wingdings"/>
        </w:rPr>
        <w:t xml:space="preserve"> </w:t>
      </w:r>
      <w:r>
        <w:rPr>
          <w:rFonts w:hint="eastAsia"/>
        </w:rPr>
        <w:t>L</w:t>
      </w:r>
      <w:r>
        <w:t xml:space="preserve">arge overhead of both </w:t>
      </w:r>
      <w:r>
        <w:rPr>
          <w:rFonts w:hint="eastAsia"/>
        </w:rPr>
        <w:t>RRC signaling and CSI-RS transmission</w:t>
      </w:r>
      <w:r>
        <w:rPr>
          <w:rFonts w:hint="eastAsia"/>
        </w:rPr>
        <w:fldChar w:fldCharType="end"/>
      </w:r>
    </w:p>
    <w:p>
      <w:pPr>
        <w:pStyle w:val="13"/>
        <w:tabs>
          <w:tab w:val="right" w:leader="dot" w:pos="9660"/>
          <w:tab w:val="clear" w:pos="0"/>
        </w:tabs>
        <w:spacing w:before="120" w:after="120"/>
      </w:pPr>
      <w:r>
        <w:fldChar w:fldCharType="begin"/>
      </w:r>
      <w:r>
        <w:instrText xml:space="preserve"> HYPERLINK \l "_Toc3300" </w:instrText>
      </w:r>
      <w:r>
        <w:fldChar w:fldCharType="separate"/>
      </w:r>
      <w:r>
        <w:rPr>
          <w:rFonts w:eastAsia="宋体"/>
          <w:iCs w:val="0"/>
          <w:szCs w:val="21"/>
        </w:rPr>
        <w:t xml:space="preserve">Observation 3: </w:t>
      </w:r>
      <w:r>
        <w:rPr>
          <w:rFonts w:hint="eastAsia"/>
        </w:rPr>
        <w:t xml:space="preserve">For A1-2-revised </w:t>
      </w:r>
      <w:r>
        <w:t>CSI-RS resource</w:t>
      </w:r>
      <w:r>
        <w:rPr>
          <w:rFonts w:hint="eastAsia"/>
        </w:rPr>
        <w:t>, it has the following benefits:</w:t>
      </w:r>
      <w:r>
        <w:rPr>
          <w:rFonts w:hint="eastAsia"/>
        </w:rPr>
        <w:fldChar w:fldCharType="end"/>
      </w:r>
    </w:p>
    <w:p>
      <w:pPr>
        <w:pStyle w:val="13"/>
        <w:tabs>
          <w:tab w:val="right" w:leader="dot" w:pos="9660"/>
          <w:tab w:val="clear" w:pos="0"/>
        </w:tabs>
        <w:spacing w:before="120" w:after="120"/>
      </w:pPr>
      <w:r>
        <w:fldChar w:fldCharType="begin"/>
      </w:r>
      <w:r>
        <w:instrText xml:space="preserve"> HYPERLINK \l "_Toc7084" </w:instrText>
      </w:r>
      <w:r>
        <w:fldChar w:fldCharType="separate"/>
      </w:r>
      <w:r>
        <w:rPr>
          <w:rFonts w:ascii="Wingdings" w:hAnsi="Wingdings"/>
        </w:rPr>
        <w:t xml:space="preserve"> </w:t>
      </w:r>
      <w:r>
        <w:rPr>
          <w:rFonts w:hint="eastAsia"/>
        </w:rPr>
        <w:t>Less overhead of both RRC signaling and CSI-RS transmission</w:t>
      </w:r>
      <w:r>
        <w:rPr>
          <w:rFonts w:hint="eastAsia"/>
        </w:rPr>
        <w:fldChar w:fldCharType="end"/>
      </w:r>
    </w:p>
    <w:p>
      <w:pPr>
        <w:pStyle w:val="13"/>
        <w:tabs>
          <w:tab w:val="right" w:leader="dot" w:pos="9660"/>
          <w:tab w:val="clear" w:pos="0"/>
        </w:tabs>
        <w:spacing w:before="120" w:after="120"/>
      </w:pPr>
      <w:r>
        <w:fldChar w:fldCharType="begin"/>
      </w:r>
      <w:r>
        <w:instrText xml:space="preserve"> HYPERLINK \l "_Toc4334" </w:instrText>
      </w:r>
      <w:r>
        <w:fldChar w:fldCharType="separate"/>
      </w:r>
      <w:r>
        <w:rPr>
          <w:rFonts w:ascii="Wingdings" w:hAnsi="Wingdings"/>
        </w:rPr>
        <w:t xml:space="preserve"> </w:t>
      </w:r>
      <w:r>
        <w:rPr>
          <w:rFonts w:hint="eastAsia"/>
        </w:rPr>
        <w:t>More network energy saving</w:t>
      </w:r>
      <w:r>
        <w:t xml:space="preserve"> with less DL transmission</w:t>
      </w:r>
      <w:r>
        <w:fldChar w:fldCharType="end"/>
      </w:r>
    </w:p>
    <w:p>
      <w:pPr>
        <w:pStyle w:val="13"/>
        <w:tabs>
          <w:tab w:val="right" w:leader="dot" w:pos="9660"/>
          <w:tab w:val="clear" w:pos="0"/>
        </w:tabs>
        <w:spacing w:before="120" w:after="120"/>
      </w:pPr>
      <w:r>
        <w:fldChar w:fldCharType="begin"/>
      </w:r>
      <w:r>
        <w:instrText xml:space="preserve"> HYPERLINK \l "_Toc18117" </w:instrText>
      </w:r>
      <w:r>
        <w:fldChar w:fldCharType="separate"/>
      </w:r>
      <w:r>
        <w:rPr>
          <w:rFonts w:ascii="Wingdings" w:hAnsi="Wingdings"/>
        </w:rPr>
        <w:t xml:space="preserve"> </w:t>
      </w:r>
      <w:r>
        <w:rPr>
          <w:rFonts w:hint="eastAsia"/>
        </w:rPr>
        <w:t>High correlation among multiple CSIs</w:t>
      </w:r>
      <w:r>
        <w:rPr>
          <w:rFonts w:hint="eastAsia"/>
        </w:rPr>
        <w:fldChar w:fldCharType="end"/>
      </w:r>
    </w:p>
    <w:p>
      <w:pPr>
        <w:pStyle w:val="13"/>
        <w:tabs>
          <w:tab w:val="right" w:leader="dot" w:pos="9660"/>
          <w:tab w:val="clear" w:pos="0"/>
        </w:tabs>
        <w:spacing w:before="120" w:after="120"/>
      </w:pPr>
      <w:r>
        <w:fldChar w:fldCharType="begin"/>
      </w:r>
      <w:r>
        <w:instrText xml:space="preserve"> HYPERLINK \l "_Toc13596" </w:instrText>
      </w:r>
      <w:r>
        <w:fldChar w:fldCharType="separate"/>
      </w:r>
      <w:r>
        <w:rPr>
          <w:rFonts w:eastAsia="宋体"/>
          <w:iCs w:val="0"/>
          <w:szCs w:val="21"/>
        </w:rPr>
        <w:t xml:space="preserve">Observation 4: </w:t>
      </w:r>
      <w:r>
        <w:rPr>
          <w:rFonts w:hint="eastAsia"/>
        </w:rPr>
        <w:t>For port subset indication, compared with implicit derivation, explicit indication has</w:t>
      </w:r>
      <w:r>
        <w:t xml:space="preserve"> </w:t>
      </w:r>
      <w:r>
        <w:rPr>
          <w:rFonts w:hint="eastAsia"/>
        </w:rPr>
        <w:t>higher flexibility</w:t>
      </w:r>
      <w:r>
        <w:t xml:space="preserve"> and better applicability to different gNB implementation of port mapping and different combination</w:t>
      </w:r>
      <w:r>
        <w:rPr>
          <w:rFonts w:hint="eastAsia"/>
        </w:rPr>
        <w:t>s</w:t>
      </w:r>
      <w:r>
        <w:t xml:space="preserve"> of (N1, </w:t>
      </w:r>
      <w:r>
        <w:rPr>
          <w:rFonts w:hint="eastAsia"/>
        </w:rPr>
        <w:t>N2</w:t>
      </w:r>
      <w:r>
        <w:t>)</w:t>
      </w:r>
      <w:r>
        <w:rPr>
          <w:rFonts w:hint="eastAsia"/>
        </w:rPr>
        <w:t>.</w:t>
      </w:r>
      <w:r>
        <w:rPr>
          <w:rFonts w:hint="eastAsia"/>
        </w:rPr>
        <w:fldChar w:fldCharType="end"/>
      </w:r>
    </w:p>
    <w:p>
      <w:pPr>
        <w:pStyle w:val="13"/>
        <w:tabs>
          <w:tab w:val="right" w:leader="dot" w:pos="9660"/>
          <w:tab w:val="clear" w:pos="0"/>
        </w:tabs>
        <w:spacing w:before="120" w:after="120"/>
      </w:pPr>
      <w:r>
        <w:fldChar w:fldCharType="begin"/>
      </w:r>
      <w:r>
        <w:instrText xml:space="preserve"> HYPERLINK \l "_Toc2165" </w:instrText>
      </w:r>
      <w:r>
        <w:fldChar w:fldCharType="separate"/>
      </w:r>
      <w:r>
        <w:rPr>
          <w:rFonts w:eastAsia="宋体"/>
          <w:iCs w:val="0"/>
          <w:szCs w:val="21"/>
        </w:rPr>
        <w:t xml:space="preserve">Observation 5: </w:t>
      </w:r>
      <w:r>
        <w:rPr>
          <w:rFonts w:hint="eastAsia"/>
        </w:rPr>
        <w:t xml:space="preserve">If reporting a common PMI for multi-CSIs is supported, there is no need to configure parameters </w:t>
      </w:r>
      <w:r>
        <w:t>of</w:t>
      </w:r>
      <w:r>
        <w:rPr>
          <w:rFonts w:hint="eastAsia"/>
        </w:rPr>
        <w:t xml:space="preserve"> PMI</w:t>
      </w:r>
      <w:r>
        <w:t xml:space="preserve"> </w:t>
      </w:r>
      <w:r>
        <w:rPr>
          <w:rFonts w:hint="eastAsia"/>
        </w:rPr>
        <w:t>(e.g., N1, N2, Ng, codebook subset restriction, codebook type)</w:t>
      </w:r>
      <w:r>
        <w:t xml:space="preserve"> for each CSI report sub-configuration</w:t>
      </w:r>
      <w:r>
        <w:rPr>
          <w:rFonts w:hint="eastAsia"/>
        </w:rPr>
        <w:t>.</w:t>
      </w:r>
      <w:r>
        <w:rPr>
          <w:rFonts w:hint="eastAsia"/>
        </w:rPr>
        <w:fldChar w:fldCharType="end"/>
      </w:r>
    </w:p>
    <w:p>
      <w:pPr>
        <w:pStyle w:val="13"/>
        <w:tabs>
          <w:tab w:val="right" w:leader="dot" w:pos="9660"/>
          <w:tab w:val="clear" w:pos="0"/>
        </w:tabs>
        <w:spacing w:before="120" w:after="120"/>
      </w:pPr>
      <w:r>
        <w:fldChar w:fldCharType="begin"/>
      </w:r>
      <w:r>
        <w:instrText xml:space="preserve"> HYPERLINK \l "_Toc2427" </w:instrText>
      </w:r>
      <w:r>
        <w:fldChar w:fldCharType="separate"/>
      </w:r>
      <w:r>
        <w:rPr>
          <w:rFonts w:eastAsia="宋体"/>
          <w:iCs w:val="0"/>
          <w:szCs w:val="21"/>
        </w:rPr>
        <w:t xml:space="preserve">Observation 6: </w:t>
      </w:r>
      <w:r>
        <w:rPr>
          <w:rFonts w:hint="eastAsia"/>
        </w:rPr>
        <w:t xml:space="preserve">The overhead of PMI is </w:t>
      </w:r>
      <w:r>
        <w:t>determined by</w:t>
      </w:r>
      <w:r>
        <w:rPr>
          <w:rFonts w:hint="eastAsia"/>
        </w:rPr>
        <w:t xml:space="preserve"> N1,</w:t>
      </w:r>
      <w:r>
        <w:t xml:space="preserve"> </w:t>
      </w:r>
      <w:r>
        <w:rPr>
          <w:rFonts w:hint="eastAsia"/>
        </w:rPr>
        <w:t>N2,</w:t>
      </w:r>
      <w:r>
        <w:t xml:space="preserve"> </w:t>
      </w:r>
      <w:r>
        <w:rPr>
          <w:rFonts w:hint="eastAsia"/>
        </w:rPr>
        <w:t>O1,</w:t>
      </w:r>
      <w:r>
        <w:t xml:space="preserve"> </w:t>
      </w:r>
      <w:r>
        <w:rPr>
          <w:rFonts w:hint="eastAsia"/>
        </w:rPr>
        <w:t>O2 and the number of subband</w:t>
      </w:r>
      <w:r>
        <w:t>s</w:t>
      </w:r>
      <w:r>
        <w:rPr>
          <w:rFonts w:hint="eastAsia"/>
        </w:rPr>
        <w:t>. If multiple PMIs need to be reported</w:t>
      </w:r>
      <w:r>
        <w:t xml:space="preserve"> for multi-CSI</w:t>
      </w:r>
      <w:r>
        <w:rPr>
          <w:rFonts w:hint="eastAsia"/>
        </w:rPr>
        <w:t>, the overhead is large.</w:t>
      </w:r>
      <w:r>
        <w:rPr>
          <w:rFonts w:hint="eastAsia"/>
        </w:rPr>
        <w:fldChar w:fldCharType="end"/>
      </w:r>
    </w:p>
    <w:p>
      <w:pPr>
        <w:pStyle w:val="13"/>
        <w:tabs>
          <w:tab w:val="right" w:leader="dot" w:pos="9660"/>
          <w:tab w:val="clear" w:pos="0"/>
        </w:tabs>
        <w:spacing w:before="120" w:after="120"/>
      </w:pPr>
      <w:r>
        <w:fldChar w:fldCharType="begin"/>
      </w:r>
      <w:r>
        <w:instrText xml:space="preserve"> HYPERLINK \l "_Toc21160" </w:instrText>
      </w:r>
      <w:r>
        <w:fldChar w:fldCharType="separate"/>
      </w:r>
      <w:r>
        <w:rPr>
          <w:rFonts w:eastAsia="宋体"/>
          <w:iCs w:val="0"/>
          <w:szCs w:val="21"/>
        </w:rPr>
        <w:t xml:space="preserve">Observation 7: </w:t>
      </w:r>
      <w:r>
        <w:rPr>
          <w:rFonts w:hint="eastAsia"/>
        </w:rPr>
        <w:t xml:space="preserve">The correlation between </w:t>
      </w:r>
      <w:r>
        <w:t>the</w:t>
      </w:r>
      <w:r>
        <w:rPr>
          <w:rFonts w:hint="eastAsia"/>
        </w:rPr>
        <w:t xml:space="preserve"> precoding matrices </w:t>
      </w:r>
      <w:r>
        <w:t>of different CSI-RS port numbers</w:t>
      </w:r>
      <w:r>
        <w:rPr>
          <w:rFonts w:hint="eastAsia"/>
        </w:rPr>
        <w:t xml:space="preserve"> is high.</w:t>
      </w:r>
      <w:r>
        <w:rPr>
          <w:rFonts w:hint="eastAsia"/>
        </w:rPr>
        <w:fldChar w:fldCharType="end"/>
      </w:r>
    </w:p>
    <w:p>
      <w:pPr>
        <w:pStyle w:val="13"/>
        <w:tabs>
          <w:tab w:val="right" w:leader="dot" w:pos="9660"/>
          <w:tab w:val="clear" w:pos="0"/>
        </w:tabs>
        <w:spacing w:before="120" w:after="120"/>
      </w:pPr>
      <w:r>
        <w:fldChar w:fldCharType="begin"/>
      </w:r>
      <w:r>
        <w:instrText xml:space="preserve"> HYPERLINK \l "_Toc6679" </w:instrText>
      </w:r>
      <w:r>
        <w:fldChar w:fldCharType="separate"/>
      </w:r>
      <w:r>
        <w:rPr>
          <w:rFonts w:eastAsia="宋体"/>
          <w:iCs w:val="0"/>
          <w:szCs w:val="21"/>
        </w:rPr>
        <w:t xml:space="preserve">Observation 8: </w:t>
      </w:r>
      <w:r>
        <w:t>The</w:t>
      </w:r>
      <w:r>
        <w:rPr>
          <w:rFonts w:hint="eastAsia"/>
        </w:rPr>
        <w:t xml:space="preserve"> throughput</w:t>
      </w:r>
      <w:r>
        <w:t xml:space="preserve"> performance of </w:t>
      </w:r>
      <w:r>
        <w:rPr>
          <w:rFonts w:hint="eastAsia"/>
        </w:rPr>
        <w:t>using a derived precoding matrix</w:t>
      </w:r>
      <w:r>
        <w:t xml:space="preserve"> and </w:t>
      </w:r>
      <w:r>
        <w:rPr>
          <w:rFonts w:hint="eastAsia"/>
        </w:rPr>
        <w:t>using a real precoding matrix is nearly</w:t>
      </w:r>
      <w:r>
        <w:t xml:space="preserve"> the</w:t>
      </w:r>
      <w:r>
        <w:rPr>
          <w:rFonts w:hint="eastAsia"/>
        </w:rPr>
        <w:t xml:space="preserve"> same if rank is fixed</w:t>
      </w:r>
      <w:r>
        <w:t>.</w:t>
      </w:r>
      <w:r>
        <w:fldChar w:fldCharType="end"/>
      </w:r>
    </w:p>
    <w:p>
      <w:pPr>
        <w:pStyle w:val="13"/>
        <w:tabs>
          <w:tab w:val="right" w:leader="dot" w:pos="9660"/>
          <w:tab w:val="clear" w:pos="0"/>
        </w:tabs>
        <w:spacing w:before="120" w:after="120"/>
      </w:pPr>
      <w:r>
        <w:fldChar w:fldCharType="begin"/>
      </w:r>
      <w:r>
        <w:instrText xml:space="preserve"> HYPERLINK \l "_Toc986" </w:instrText>
      </w:r>
      <w:r>
        <w:fldChar w:fldCharType="separate"/>
      </w:r>
      <w:r>
        <w:rPr>
          <w:rFonts w:eastAsia="宋体"/>
          <w:iCs w:val="0"/>
          <w:szCs w:val="21"/>
        </w:rPr>
        <w:t xml:space="preserve">Observation 9: </w:t>
      </w:r>
      <w:r>
        <w:t xml:space="preserve">Compared with reporting multiple PMI, the </w:t>
      </w:r>
      <w:r>
        <w:rPr>
          <w:rFonts w:hint="eastAsia"/>
        </w:rPr>
        <w:t xml:space="preserve">average </w:t>
      </w:r>
      <w:r>
        <w:t>throughput loss of single PMI is small</w:t>
      </w:r>
      <w:r>
        <w:rPr>
          <w:rFonts w:hint="eastAsia"/>
        </w:rPr>
        <w:t xml:space="preserve"> when rank is flexible</w:t>
      </w:r>
      <w:r>
        <w:t>.</w:t>
      </w:r>
      <w:r>
        <w:fldChar w:fldCharType="end"/>
      </w:r>
    </w:p>
    <w:p>
      <w:pPr>
        <w:pStyle w:val="13"/>
        <w:tabs>
          <w:tab w:val="right" w:leader="dot" w:pos="9660"/>
          <w:tab w:val="clear" w:pos="0"/>
        </w:tabs>
        <w:spacing w:before="120" w:after="120"/>
      </w:pPr>
      <w:r>
        <w:fldChar w:fldCharType="begin"/>
      </w:r>
      <w:r>
        <w:instrText xml:space="preserve"> HYPERLINK \l "_Toc19345" </w:instrText>
      </w:r>
      <w:r>
        <w:fldChar w:fldCharType="separate"/>
      </w:r>
      <w:r>
        <w:rPr>
          <w:rFonts w:eastAsia="宋体"/>
          <w:iCs w:val="0"/>
          <w:szCs w:val="21"/>
        </w:rPr>
        <w:t xml:space="preserve">Observation 10: </w:t>
      </w:r>
      <w:r>
        <w:t>The performance of single PMI reporting and multiple PMI reporting</w:t>
      </w:r>
      <w:r>
        <w:rPr>
          <w:rFonts w:hint="eastAsia"/>
        </w:rPr>
        <w:t xml:space="preserve"> </w:t>
      </w:r>
      <w:r>
        <w:t xml:space="preserve">is similar </w:t>
      </w:r>
      <w:r>
        <w:rPr>
          <w:rFonts w:hint="eastAsia"/>
        </w:rPr>
        <w:t>fo</w:t>
      </w:r>
      <w:r>
        <w:t>r both  fixed rank and flexible rank.</w:t>
      </w:r>
      <w:r>
        <w:fldChar w:fldCharType="end"/>
      </w:r>
    </w:p>
    <w:p>
      <w:pPr>
        <w:pStyle w:val="13"/>
        <w:tabs>
          <w:tab w:val="right" w:leader="dot" w:pos="9660"/>
          <w:tab w:val="clear" w:pos="0"/>
        </w:tabs>
        <w:spacing w:before="120" w:after="120"/>
      </w:pPr>
      <w:r>
        <w:fldChar w:fldCharType="begin"/>
      </w:r>
      <w:r>
        <w:instrText xml:space="preserve"> HYPERLINK \l "_Toc21974" </w:instrText>
      </w:r>
      <w:r>
        <w:fldChar w:fldCharType="separate"/>
      </w:r>
      <w:r>
        <w:rPr>
          <w:rFonts w:eastAsia="宋体"/>
          <w:iCs w:val="0"/>
          <w:szCs w:val="21"/>
        </w:rPr>
        <w:t xml:space="preserve">Observation 11: </w:t>
      </w:r>
      <w:r>
        <w:rPr>
          <w:rFonts w:hint="eastAsia"/>
        </w:rPr>
        <w:t xml:space="preserve">When </w:t>
      </w:r>
      <w:r>
        <w:t>dynamic gNB antenna adaptation among</w:t>
      </w:r>
      <w:r>
        <w:rPr>
          <w:rFonts w:hint="eastAsia"/>
        </w:rPr>
        <w:t xml:space="preserve"> {32ports, 24ports, 16ports}, the payload of PMI reporting </w:t>
      </w:r>
      <w:r>
        <w:t xml:space="preserve">can by </w:t>
      </w:r>
      <w:r>
        <w:rPr>
          <w:rFonts w:hint="eastAsia"/>
        </w:rPr>
        <w:t xml:space="preserve">reduced </w:t>
      </w:r>
      <w:r>
        <w:t>by 65% (</w:t>
      </w:r>
      <w:r>
        <w:rPr>
          <w:rFonts w:hint="eastAsia"/>
        </w:rPr>
        <w:t>i</w:t>
      </w:r>
      <w:r>
        <w:t xml:space="preserve">.e., </w:t>
      </w:r>
      <w:r>
        <w:rPr>
          <w:rFonts w:hint="eastAsia"/>
        </w:rPr>
        <w:t xml:space="preserve">from </w:t>
      </w:r>
      <w:r>
        <w:t>82</w:t>
      </w:r>
      <w:r>
        <w:rPr>
          <w:rFonts w:hint="eastAsia"/>
        </w:rPr>
        <w:t xml:space="preserve">bits to </w:t>
      </w:r>
      <w:r>
        <w:t>28</w:t>
      </w:r>
      <w:r>
        <w:rPr>
          <w:rFonts w:hint="eastAsia"/>
        </w:rPr>
        <w:t>bits</w:t>
      </w:r>
      <w:r>
        <w:t>)</w:t>
      </w:r>
      <w:r>
        <w:rPr>
          <w:rFonts w:hint="eastAsia"/>
        </w:rPr>
        <w:t xml:space="preserve"> using </w:t>
      </w:r>
      <w:r>
        <w:t>single PMI reporting</w:t>
      </w:r>
      <w:r>
        <w:rPr>
          <w:rFonts w:hint="eastAsia"/>
        </w:rPr>
        <w:t xml:space="preserve">. When </w:t>
      </w:r>
      <w:r>
        <w:t xml:space="preserve">dynamic gNB antenna adaptation </w:t>
      </w:r>
      <w:r>
        <w:rPr>
          <w:rFonts w:hint="eastAsia"/>
        </w:rPr>
        <w:t xml:space="preserve">between {32ports, 24ports}, the payload of PMI reporting </w:t>
      </w:r>
      <w:r>
        <w:t xml:space="preserve">can by </w:t>
      </w:r>
      <w:r>
        <w:rPr>
          <w:rFonts w:hint="eastAsia"/>
        </w:rPr>
        <w:t xml:space="preserve">reduced </w:t>
      </w:r>
      <w:r>
        <w:t>by 5</w:t>
      </w:r>
      <w:r>
        <w:rPr>
          <w:rFonts w:hint="eastAsia"/>
        </w:rPr>
        <w:t>0</w:t>
      </w:r>
      <w:r>
        <w:t>% (</w:t>
      </w:r>
      <w:r>
        <w:rPr>
          <w:rFonts w:hint="eastAsia"/>
        </w:rPr>
        <w:t>i</w:t>
      </w:r>
      <w:r>
        <w:t xml:space="preserve">.e., </w:t>
      </w:r>
      <w:r>
        <w:rPr>
          <w:rFonts w:hint="eastAsia"/>
        </w:rPr>
        <w:t xml:space="preserve">from 56 bits to </w:t>
      </w:r>
      <w:r>
        <w:t>28</w:t>
      </w:r>
      <w:r>
        <w:rPr>
          <w:rFonts w:hint="eastAsia"/>
        </w:rPr>
        <w:t>bits</w:t>
      </w:r>
      <w:r>
        <w:t>)</w:t>
      </w:r>
      <w:r>
        <w:rPr>
          <w:rFonts w:hint="eastAsia"/>
        </w:rPr>
        <w:t xml:space="preserve"> using </w:t>
      </w:r>
      <w:r>
        <w:t>single PMI reporting</w:t>
      </w:r>
      <w:r>
        <w:rPr>
          <w:rFonts w:hint="eastAsia"/>
        </w:rPr>
        <w:t>.</w:t>
      </w:r>
      <w:r>
        <w:rPr>
          <w:rFonts w:hint="eastAsia"/>
        </w:rPr>
        <w:fldChar w:fldCharType="end"/>
      </w:r>
    </w:p>
    <w:p>
      <w:pPr>
        <w:pStyle w:val="13"/>
        <w:tabs>
          <w:tab w:val="right" w:leader="dot" w:pos="9660"/>
          <w:tab w:val="clear" w:pos="0"/>
        </w:tabs>
        <w:spacing w:before="120" w:after="120"/>
      </w:pPr>
      <w:r>
        <w:fldChar w:fldCharType="begin"/>
      </w:r>
      <w:r>
        <w:instrText xml:space="preserve"> HYPERLINK \l "_Toc372" </w:instrText>
      </w:r>
      <w:r>
        <w:fldChar w:fldCharType="separate"/>
      </w:r>
      <w:r>
        <w:rPr>
          <w:rFonts w:eastAsia="宋体"/>
          <w:iCs w:val="0"/>
          <w:szCs w:val="21"/>
        </w:rPr>
        <w:t xml:space="preserve">Observation 12: </w:t>
      </w:r>
      <w:r>
        <w:rPr>
          <w:rFonts w:hint="eastAsia"/>
        </w:rPr>
        <w:t xml:space="preserve">The correlation between </w:t>
      </w:r>
      <w:r>
        <w:rPr>
          <w:bCs w:val="0"/>
        </w:rPr>
        <w:t>16</w:t>
      </w:r>
      <w:r>
        <w:rPr>
          <w:rFonts w:hint="eastAsia"/>
          <w:bCs w:val="0"/>
        </w:rPr>
        <w:t>-port</w:t>
      </w:r>
      <w:r>
        <w:rPr>
          <w:bCs w:val="0"/>
        </w:rPr>
        <w:t xml:space="preserve"> </w:t>
      </w:r>
      <w:r>
        <w:rPr>
          <w:rFonts w:hint="eastAsia"/>
          <w:bCs w:val="0"/>
        </w:rPr>
        <w:t xml:space="preserve">precoding matrix </w:t>
      </w:r>
      <w:r>
        <w:rPr>
          <w:bCs w:val="0"/>
        </w:rPr>
        <w:t xml:space="preserve">and 32-port </w:t>
      </w:r>
      <w:r>
        <w:rPr>
          <w:rFonts w:hint="eastAsia"/>
          <w:bCs w:val="0"/>
        </w:rPr>
        <w:t xml:space="preserve">precoding matrix </w:t>
      </w:r>
      <w:r>
        <w:rPr>
          <w:rFonts w:hint="eastAsia"/>
        </w:rPr>
        <w:t>with rank 3 or 4 is low</w:t>
      </w:r>
      <w:r>
        <w:t xml:space="preserve"> with </w:t>
      </w:r>
      <w:r>
        <w:rPr>
          <w:bCs w:val="0"/>
        </w:rPr>
        <w:t>improper selection of ports</w:t>
      </w:r>
      <w:r>
        <w:rPr>
          <w:rFonts w:hint="eastAsia"/>
        </w:rPr>
        <w:t>.</w:t>
      </w:r>
      <w:r>
        <w:rPr>
          <w:rFonts w:hint="eastAsia"/>
        </w:rPr>
        <w:fldChar w:fldCharType="end"/>
      </w:r>
    </w:p>
    <w:p>
      <w:pPr>
        <w:pStyle w:val="13"/>
        <w:tabs>
          <w:tab w:val="right" w:leader="dot" w:pos="9660"/>
          <w:tab w:val="clear" w:pos="0"/>
        </w:tabs>
        <w:spacing w:before="120" w:after="120"/>
      </w:pPr>
      <w:r>
        <w:fldChar w:fldCharType="begin"/>
      </w:r>
      <w:r>
        <w:instrText xml:space="preserve"> HYPERLINK \l "_Toc4934" </w:instrText>
      </w:r>
      <w:r>
        <w:fldChar w:fldCharType="separate"/>
      </w:r>
      <w:r>
        <w:rPr>
          <w:rFonts w:eastAsia="宋体"/>
          <w:iCs w:val="0"/>
          <w:szCs w:val="21"/>
        </w:rPr>
        <w:t xml:space="preserve">Observation 13: </w:t>
      </w:r>
      <w:r>
        <w:rPr>
          <w:rFonts w:hint="eastAsia"/>
        </w:rPr>
        <w:t>Different port subset indications will generate different precoding matrix and lead to different correlation</w:t>
      </w:r>
      <w:r>
        <w:t xml:space="preserve"> </w:t>
      </w:r>
      <w:r>
        <w:rPr>
          <w:rFonts w:hint="eastAsia"/>
        </w:rPr>
        <w:t>per</w:t>
      </w:r>
      <w:r>
        <w:t>formance</w:t>
      </w:r>
      <w:r>
        <w:rPr>
          <w:rFonts w:hint="eastAsia"/>
        </w:rPr>
        <w:t>.</w:t>
      </w:r>
      <w:r>
        <w:rPr>
          <w:rFonts w:hint="eastAsia"/>
        </w:rPr>
        <w:fldChar w:fldCharType="end"/>
      </w:r>
    </w:p>
    <w:p>
      <w:pPr>
        <w:pStyle w:val="13"/>
        <w:tabs>
          <w:tab w:val="right" w:leader="dot" w:pos="9660"/>
          <w:tab w:val="clear" w:pos="0"/>
        </w:tabs>
        <w:spacing w:before="120" w:after="120"/>
      </w:pPr>
      <w:r>
        <w:fldChar w:fldCharType="begin"/>
      </w:r>
      <w:r>
        <w:instrText xml:space="preserve"> HYPERLINK \l "_Toc1022" </w:instrText>
      </w:r>
      <w:r>
        <w:fldChar w:fldCharType="separate"/>
      </w:r>
      <w:r>
        <w:rPr>
          <w:rFonts w:eastAsia="宋体"/>
          <w:iCs w:val="0"/>
          <w:szCs w:val="21"/>
        </w:rPr>
        <w:t xml:space="preserve">Observation 14: </w:t>
      </w:r>
      <w:r>
        <w:t>If only one</w:t>
      </w:r>
      <w:r>
        <w:rPr>
          <w:rFonts w:hint="eastAsia"/>
        </w:rPr>
        <w:t xml:space="preserve"> common</w:t>
      </w:r>
      <w:r>
        <w:t xml:space="preserve"> PMI is reported for multiple number of ports, the port </w:t>
      </w:r>
      <w:r>
        <w:rPr>
          <w:rFonts w:hint="eastAsia"/>
        </w:rPr>
        <w:t xml:space="preserve">subset indication </w:t>
      </w:r>
      <w:r>
        <w:t>should observe the following principles:</w:t>
      </w:r>
      <w:r>
        <w:fldChar w:fldCharType="end"/>
      </w:r>
    </w:p>
    <w:p>
      <w:pPr>
        <w:pStyle w:val="13"/>
        <w:tabs>
          <w:tab w:val="right" w:leader="dot" w:pos="9660"/>
          <w:tab w:val="clear" w:pos="0"/>
        </w:tabs>
        <w:spacing w:before="120" w:after="120"/>
      </w:pPr>
      <w:r>
        <w:fldChar w:fldCharType="begin"/>
      </w:r>
      <w:r>
        <w:instrText xml:space="preserve"> HYPERLINK \l "_Toc21180" </w:instrText>
      </w:r>
      <w:r>
        <w:fldChar w:fldCharType="separate"/>
      </w:r>
      <w:r>
        <w:rPr>
          <w:rFonts w:ascii="Wingdings" w:hAnsi="Wingdings"/>
        </w:rPr>
        <w:t xml:space="preserve"> </w:t>
      </w:r>
      <w:r>
        <w:t>The selected ports should follow a valid (N1, N2);</w:t>
      </w:r>
      <w:r>
        <w:fldChar w:fldCharType="end"/>
      </w:r>
    </w:p>
    <w:p>
      <w:pPr>
        <w:pStyle w:val="13"/>
        <w:tabs>
          <w:tab w:val="right" w:leader="dot" w:pos="9660"/>
          <w:tab w:val="clear" w:pos="0"/>
        </w:tabs>
        <w:spacing w:before="120" w:after="120"/>
      </w:pPr>
      <w:r>
        <w:fldChar w:fldCharType="begin"/>
      </w:r>
      <w:r>
        <w:instrText xml:space="preserve"> HYPERLINK \l "_Toc2432" </w:instrText>
      </w:r>
      <w:r>
        <w:fldChar w:fldCharType="separate"/>
      </w:r>
      <w:r>
        <w:rPr>
          <w:rFonts w:ascii="Wingdings" w:hAnsi="Wingdings"/>
        </w:rPr>
        <w:t xml:space="preserve"> </w:t>
      </w:r>
      <w:r>
        <w:t>The extracted precoding matrix should follow the structure of the precoding matrix in TS 38.214.</w:t>
      </w:r>
      <w:r>
        <w:fldChar w:fldCharType="end"/>
      </w:r>
    </w:p>
    <w:p>
      <w:pPr>
        <w:pStyle w:val="13"/>
        <w:tabs>
          <w:tab w:val="right" w:leader="dot" w:pos="9660"/>
          <w:tab w:val="clear" w:pos="0"/>
        </w:tabs>
        <w:spacing w:before="120" w:after="120"/>
      </w:pPr>
      <w:r>
        <w:fldChar w:fldCharType="begin"/>
      </w:r>
      <w:r>
        <w:instrText xml:space="preserve"> HYPERLINK \l "_Toc11048" </w:instrText>
      </w:r>
      <w:r>
        <w:fldChar w:fldCharType="separate"/>
      </w:r>
      <w:r>
        <w:rPr>
          <w:rFonts w:eastAsia="宋体"/>
          <w:iCs w:val="0"/>
          <w:kern w:val="0"/>
          <w:szCs w:val="21"/>
        </w:rPr>
        <w:t xml:space="preserve">Observation 15: </w:t>
      </w:r>
      <w:r>
        <w:rPr>
          <w:rFonts w:eastAsia="宋体"/>
          <w:bCs w:val="0"/>
          <w:kern w:val="0"/>
        </w:rPr>
        <w:t>In most cases, RI doesn</w:t>
      </w:r>
      <w:r>
        <w:rPr>
          <w:rFonts w:hint="eastAsia" w:eastAsia="宋体"/>
          <w:bCs w:val="0"/>
          <w:kern w:val="0"/>
        </w:rPr>
        <w:t>’</w:t>
      </w:r>
      <w:r>
        <w:rPr>
          <w:rFonts w:eastAsia="宋体"/>
          <w:bCs w:val="0"/>
          <w:kern w:val="0"/>
        </w:rPr>
        <w:t>t change or just decrease</w:t>
      </w:r>
      <w:r>
        <w:rPr>
          <w:rFonts w:hint="eastAsia" w:eastAsia="宋体"/>
          <w:bCs w:val="0"/>
          <w:kern w:val="0"/>
        </w:rPr>
        <w:t>s</w:t>
      </w:r>
      <w:r>
        <w:rPr>
          <w:rFonts w:eastAsia="宋体"/>
          <w:bCs w:val="0"/>
          <w:kern w:val="0"/>
        </w:rPr>
        <w:t xml:space="preserve"> by 1 when CSI-RS antenna ports are dynamically adapted.</w:t>
      </w:r>
      <w:r>
        <w:rPr>
          <w:rFonts w:eastAsia="宋体"/>
          <w:bCs w:val="0"/>
          <w:kern w:val="0"/>
        </w:rPr>
        <w:fldChar w:fldCharType="end"/>
      </w:r>
    </w:p>
    <w:p>
      <w:pPr>
        <w:pStyle w:val="13"/>
        <w:tabs>
          <w:tab w:val="right" w:leader="dot" w:pos="9660"/>
          <w:tab w:val="clear" w:pos="0"/>
        </w:tabs>
        <w:spacing w:before="120" w:after="120"/>
      </w:pPr>
      <w:r>
        <w:fldChar w:fldCharType="begin"/>
      </w:r>
      <w:r>
        <w:instrText xml:space="preserve"> HYPERLINK \l "_Toc10120" </w:instrText>
      </w:r>
      <w:r>
        <w:fldChar w:fldCharType="separate"/>
      </w:r>
      <w:r>
        <w:rPr>
          <w:rFonts w:eastAsia="宋体"/>
          <w:iCs w:val="0"/>
          <w:szCs w:val="21"/>
        </w:rPr>
        <w:t xml:space="preserve">Observation 16: </w:t>
      </w:r>
      <w:r>
        <w:t>Compared with reporting multiple RIs, the average throughput loss of reporting differential RI is small.</w:t>
      </w:r>
      <w:r>
        <w:fldChar w:fldCharType="end"/>
      </w:r>
    </w:p>
    <w:p>
      <w:pPr>
        <w:pStyle w:val="13"/>
        <w:tabs>
          <w:tab w:val="right" w:leader="dot" w:pos="9660"/>
          <w:tab w:val="clear" w:pos="0"/>
        </w:tabs>
        <w:spacing w:before="120" w:after="120"/>
      </w:pPr>
      <w:r>
        <w:fldChar w:fldCharType="begin"/>
      </w:r>
      <w:r>
        <w:instrText xml:space="preserve"> HYPERLINK \l "_Toc13521" </w:instrText>
      </w:r>
      <w:r>
        <w:fldChar w:fldCharType="separate"/>
      </w:r>
      <w:r>
        <w:rPr>
          <w:rFonts w:eastAsia="宋体"/>
          <w:iCs w:val="0"/>
          <w:szCs w:val="21"/>
        </w:rPr>
        <w:t xml:space="preserve">Observation 17: </w:t>
      </w:r>
      <w:r>
        <w:rPr>
          <w:rFonts w:hint="eastAsia"/>
        </w:rPr>
        <w:t xml:space="preserve">The value of differential CQI has great impact on system performance, and the value is related to the spatial adaptation pattern </w:t>
      </w:r>
      <w:r>
        <w:t>or the ratio of the number of unmuted TxRUs over the number of original TxRUs</w:t>
      </w:r>
      <w:r>
        <w:rPr>
          <w:rFonts w:hint="eastAsia"/>
        </w:rPr>
        <w:t>.</w:t>
      </w:r>
      <w:r>
        <w:rPr>
          <w:rFonts w:hint="eastAsia"/>
        </w:rPr>
        <w:fldChar w:fldCharType="end"/>
      </w:r>
    </w:p>
    <w:p>
      <w:pPr>
        <w:pStyle w:val="13"/>
        <w:tabs>
          <w:tab w:val="right" w:leader="dot" w:pos="9660"/>
          <w:tab w:val="clear" w:pos="0"/>
        </w:tabs>
        <w:spacing w:before="120" w:after="120"/>
      </w:pPr>
      <w:r>
        <w:fldChar w:fldCharType="begin"/>
      </w:r>
      <w:r>
        <w:instrText xml:space="preserve"> HYPERLINK \l "_Toc21093" </w:instrText>
      </w:r>
      <w:r>
        <w:fldChar w:fldCharType="separate"/>
      </w:r>
      <w:r>
        <w:rPr>
          <w:rFonts w:eastAsia="宋体"/>
          <w:iCs w:val="0"/>
          <w:szCs w:val="21"/>
        </w:rPr>
        <w:t xml:space="preserve">Observation 18: </w:t>
      </w:r>
      <w:r>
        <w:t xml:space="preserve">Compared with reporting multiple </w:t>
      </w:r>
      <w:r>
        <w:rPr>
          <w:rFonts w:hint="eastAsia"/>
        </w:rPr>
        <w:t>RIs, multiple PMIs and multiple CQIs</w:t>
      </w:r>
      <w:r>
        <w:t xml:space="preserve">, the </w:t>
      </w:r>
      <w:r>
        <w:rPr>
          <w:rFonts w:hint="eastAsia"/>
        </w:rPr>
        <w:t xml:space="preserve">average </w:t>
      </w:r>
      <w:r>
        <w:t xml:space="preserve">throughput loss of </w:t>
      </w:r>
      <w:r>
        <w:rPr>
          <w:rFonts w:hint="eastAsia"/>
        </w:rPr>
        <w:t xml:space="preserve">reporting differential RI, common PMI and differential CQI </w:t>
      </w:r>
      <w:r>
        <w:t>is small</w:t>
      </w:r>
      <w:r>
        <w:rPr>
          <w:rFonts w:hint="eastAsia"/>
        </w:rPr>
        <w:t>.</w:t>
      </w:r>
      <w:r>
        <w:rPr>
          <w:rFonts w:hint="eastAsia"/>
        </w:rPr>
        <w:fldChar w:fldCharType="end"/>
      </w:r>
    </w:p>
    <w:p>
      <w:pPr>
        <w:pStyle w:val="13"/>
        <w:tabs>
          <w:tab w:val="right" w:leader="dot" w:pos="9660"/>
          <w:tab w:val="clear" w:pos="0"/>
        </w:tabs>
        <w:spacing w:before="120" w:after="120"/>
      </w:pPr>
      <w:r>
        <w:fldChar w:fldCharType="begin"/>
      </w:r>
      <w:r>
        <w:instrText xml:space="preserve"> HYPERLINK \l "_Toc848" </w:instrText>
      </w:r>
      <w:r>
        <w:fldChar w:fldCharType="separate"/>
      </w:r>
      <w:r>
        <w:rPr>
          <w:rFonts w:eastAsia="宋体"/>
          <w:iCs w:val="0"/>
          <w:szCs w:val="21"/>
        </w:rPr>
        <w:t xml:space="preserve">Observation 19: </w:t>
      </w:r>
      <w:r>
        <w:rPr>
          <w:rFonts w:hint="eastAsia"/>
        </w:rPr>
        <w:t>If common CRI, differential RI, common PMI are used, the UE complexity can be reduced.</w:t>
      </w:r>
      <w:r>
        <w:rPr>
          <w:rFonts w:hint="eastAsia"/>
        </w:rPr>
        <w:fldChar w:fldCharType="end"/>
      </w:r>
    </w:p>
    <w:p>
      <w:pPr>
        <w:pStyle w:val="13"/>
        <w:tabs>
          <w:tab w:val="right" w:leader="dot" w:pos="9660"/>
          <w:tab w:val="clear" w:pos="0"/>
        </w:tabs>
        <w:spacing w:before="120" w:after="120"/>
      </w:pPr>
      <w:r>
        <w:fldChar w:fldCharType="begin"/>
      </w:r>
      <w:r>
        <w:instrText xml:space="preserve"> HYPERLINK \l "_Toc1481" </w:instrText>
      </w:r>
      <w:r>
        <w:fldChar w:fldCharType="separate"/>
      </w:r>
      <w:r>
        <w:rPr>
          <w:rFonts w:eastAsia="宋体"/>
          <w:iCs w:val="0"/>
          <w:szCs w:val="21"/>
        </w:rPr>
        <w:t xml:space="preserve">Observation 20: </w:t>
      </w:r>
      <w:r>
        <w:rPr>
          <w:rFonts w:hint="eastAsia"/>
        </w:rPr>
        <w:t>Current MAC CE and DCI are UE specific signaling and can only activate one semi-persistent CSI report at a time. If gNB changes sub-configurations, the signaling overhead is large and request long time.</w:t>
      </w:r>
      <w:r>
        <w:rPr>
          <w:rFonts w:hint="eastAsia"/>
        </w:rPr>
        <w:fldChar w:fldCharType="end"/>
      </w:r>
    </w:p>
    <w:p>
      <w:pPr>
        <w:pStyle w:val="13"/>
        <w:tabs>
          <w:tab w:val="right" w:leader="dot" w:pos="9660"/>
          <w:tab w:val="clear" w:pos="0"/>
        </w:tabs>
        <w:spacing w:before="120" w:after="120"/>
      </w:pPr>
      <w:r>
        <w:fldChar w:fldCharType="begin"/>
      </w:r>
      <w:r>
        <w:instrText xml:space="preserve"> HYPERLINK \l "_Toc26651" </w:instrText>
      </w:r>
      <w:r>
        <w:fldChar w:fldCharType="separate"/>
      </w:r>
      <w:r>
        <w:rPr>
          <w:rFonts w:eastAsia="宋体"/>
          <w:iCs w:val="0"/>
          <w:szCs w:val="21"/>
        </w:rPr>
        <w:t xml:space="preserve">Observation 21: </w:t>
      </w:r>
      <w:r>
        <w:rPr>
          <w:rFonts w:hint="eastAsia"/>
        </w:rPr>
        <w:t>For periodic CSI report, dynamically indicating N&lt;L CSIs can reduce UE complexity and UL signaling overhead and increase the flexibility of CSI report.</w:t>
      </w:r>
      <w:r>
        <w:rPr>
          <w:rFonts w:hint="eastAsia"/>
        </w:rPr>
        <w:fldChar w:fldCharType="end"/>
      </w:r>
    </w:p>
    <w:p>
      <w:pPr>
        <w:pStyle w:val="13"/>
        <w:tabs>
          <w:tab w:val="right" w:leader="dot" w:pos="9660"/>
          <w:tab w:val="clear" w:pos="0"/>
        </w:tabs>
        <w:spacing w:before="120" w:after="120"/>
      </w:pPr>
      <w:r>
        <w:fldChar w:fldCharType="begin"/>
      </w:r>
      <w:r>
        <w:instrText xml:space="preserve"> HYPERLINK \l "_Toc18334" </w:instrText>
      </w:r>
      <w:r>
        <w:fldChar w:fldCharType="separate"/>
      </w:r>
      <w:r>
        <w:rPr>
          <w:rFonts w:eastAsia="宋体"/>
          <w:iCs w:val="0"/>
          <w:szCs w:val="21"/>
        </w:rPr>
        <w:t xml:space="preserve">Observation 22: </w:t>
      </w:r>
      <w:r>
        <w:rPr>
          <w:rFonts w:hint="eastAsia"/>
        </w:rPr>
        <w:t>M</w:t>
      </w:r>
      <w:r>
        <w:t>ulti-CSI report with different power offset</w:t>
      </w:r>
      <w:r>
        <w:rPr>
          <w:rFonts w:hint="eastAsia"/>
        </w:rPr>
        <w:t xml:space="preserve"> values</w:t>
      </w:r>
      <w:r>
        <w:t xml:space="preserve"> </w:t>
      </w:r>
      <w:r>
        <w:rPr>
          <w:rFonts w:hint="eastAsia"/>
        </w:rPr>
        <w:t xml:space="preserve">is beneficial for the gNB to </w:t>
      </w:r>
      <w:r>
        <w:t>obtain</w:t>
      </w:r>
      <w:r>
        <w:rPr>
          <w:rFonts w:hint="eastAsia"/>
        </w:rPr>
        <w:t xml:space="preserve"> a relatively accurate CSI feedback.</w:t>
      </w:r>
      <w:r>
        <w:rPr>
          <w:rFonts w:hint="eastAsia"/>
        </w:rPr>
        <w:fldChar w:fldCharType="end"/>
      </w:r>
    </w:p>
    <w:p>
      <w:pPr>
        <w:pStyle w:val="13"/>
        <w:tabs>
          <w:tab w:val="right" w:leader="dot" w:pos="9660"/>
          <w:tab w:val="clear" w:pos="0"/>
        </w:tabs>
        <w:spacing w:before="120" w:after="120"/>
      </w:pPr>
      <w:r>
        <w:fldChar w:fldCharType="begin"/>
      </w:r>
      <w:r>
        <w:instrText xml:space="preserve"> HYPERLINK \l "_Toc2716" </w:instrText>
      </w:r>
      <w:r>
        <w:fldChar w:fldCharType="separate"/>
      </w:r>
      <w:r>
        <w:rPr>
          <w:rFonts w:eastAsia="宋体"/>
          <w:iCs w:val="0"/>
          <w:szCs w:val="21"/>
        </w:rPr>
        <w:t xml:space="preserve">Observation 23: </w:t>
      </w:r>
      <w:r>
        <w:rPr>
          <w:rFonts w:eastAsia="宋体"/>
        </w:rPr>
        <w:t xml:space="preserve">The </w:t>
      </w:r>
      <w:r>
        <w:rPr>
          <w:rFonts w:hint="eastAsia" w:eastAsia="宋体"/>
        </w:rPr>
        <w:t>spatial element</w:t>
      </w:r>
      <w:r>
        <w:rPr>
          <w:rFonts w:eastAsia="宋体"/>
        </w:rPr>
        <w:t xml:space="preserve"> adaptation </w:t>
      </w:r>
      <w:r>
        <w:rPr>
          <w:rFonts w:hint="eastAsia" w:eastAsia="宋体"/>
        </w:rPr>
        <w:t xml:space="preserve">with type 1 mapping method </w:t>
      </w:r>
      <w:r>
        <w:rPr>
          <w:rFonts w:eastAsia="宋体"/>
        </w:rPr>
        <w:t>does not impact the antenna port configuration of CSI-RS resources for beam management.</w:t>
      </w:r>
      <w:r>
        <w:rPr>
          <w:rFonts w:eastAsia="宋体"/>
        </w:rPr>
        <w:fldChar w:fldCharType="end"/>
      </w:r>
    </w:p>
    <w:p>
      <w:pPr>
        <w:pStyle w:val="13"/>
        <w:tabs>
          <w:tab w:val="right" w:leader="dot" w:pos="9660"/>
          <w:tab w:val="clear" w:pos="0"/>
        </w:tabs>
        <w:spacing w:before="120" w:after="120"/>
      </w:pPr>
      <w:r>
        <w:fldChar w:fldCharType="begin"/>
      </w:r>
      <w:r>
        <w:instrText xml:space="preserve"> HYPERLINK \l "_Toc32318" </w:instrText>
      </w:r>
      <w:r>
        <w:fldChar w:fldCharType="separate"/>
      </w:r>
      <w:r>
        <w:rPr>
          <w:rFonts w:eastAsia="宋体"/>
          <w:iCs w:val="0"/>
          <w:szCs w:val="21"/>
        </w:rPr>
        <w:t xml:space="preserve">Observation 24: </w:t>
      </w:r>
      <w:r>
        <w:rPr>
          <w:rFonts w:hint="eastAsia"/>
        </w:rPr>
        <w:t>The impact on beam management with type 2 mapping method can be avoided by NW implementation.</w:t>
      </w:r>
      <w:r>
        <w:rPr>
          <w:rFonts w:hint="eastAsia"/>
        </w:rPr>
        <w:fldChar w:fldCharType="end"/>
      </w:r>
    </w:p>
    <w:p>
      <w:pPr>
        <w:spacing w:before="120" w:after="120"/>
        <w:rPr>
          <w:szCs w:val="21"/>
        </w:rPr>
      </w:pPr>
      <w:r>
        <w:rPr>
          <w:szCs w:val="21"/>
        </w:rPr>
        <w:fldChar w:fldCharType="end"/>
      </w:r>
    </w:p>
    <w:p>
      <w:pPr>
        <w:pStyle w:val="13"/>
        <w:tabs>
          <w:tab w:val="right" w:leader="dot" w:pos="9660"/>
          <w:tab w:val="clear" w:pos="0"/>
        </w:tabs>
        <w:spacing w:before="120" w:after="120"/>
      </w:pPr>
      <w:r>
        <w:rPr>
          <w:iCs w:val="0"/>
          <w:szCs w:val="21"/>
        </w:rPr>
        <w:fldChar w:fldCharType="begin"/>
      </w:r>
      <w:r>
        <w:rPr>
          <w:iCs w:val="0"/>
          <w:szCs w:val="21"/>
        </w:rPr>
        <w:instrText xml:space="preserve">TOC \n  \t "YJ-Proposal,1,sub-proposal,2,3rd level proposal,3" \h</w:instrText>
      </w:r>
      <w:r>
        <w:rPr>
          <w:iCs w:val="0"/>
          <w:szCs w:val="21"/>
        </w:rPr>
        <w:fldChar w:fldCharType="separate"/>
      </w:r>
      <w:r>
        <w:fldChar w:fldCharType="begin"/>
      </w:r>
      <w:r>
        <w:instrText xml:space="preserve"> HYPERLINK \l "_Toc13027" </w:instrText>
      </w:r>
      <w:r>
        <w:fldChar w:fldCharType="separate"/>
      </w:r>
      <w:r>
        <w:rPr>
          <w:rFonts w:eastAsia="宋体"/>
          <w:iCs w:val="0"/>
          <w:szCs w:val="21"/>
        </w:rPr>
        <w:t xml:space="preserve">Proposal 1: </w:t>
      </w:r>
      <w:r>
        <w:t>For periodic multi-CSI in one report, N=L should be supported as the baseline, N&lt;L can be additionally considered.</w:t>
      </w:r>
      <w:r>
        <w:fldChar w:fldCharType="end"/>
      </w:r>
    </w:p>
    <w:p>
      <w:pPr>
        <w:pStyle w:val="13"/>
        <w:tabs>
          <w:tab w:val="right" w:leader="dot" w:pos="9660"/>
          <w:tab w:val="clear" w:pos="0"/>
        </w:tabs>
        <w:spacing w:before="120" w:after="120"/>
      </w:pPr>
      <w:r>
        <w:fldChar w:fldCharType="begin"/>
      </w:r>
      <w:r>
        <w:instrText xml:space="preserve"> HYPERLINK \l "_Toc2378" </w:instrText>
      </w:r>
      <w:r>
        <w:fldChar w:fldCharType="separate"/>
      </w:r>
      <w:r>
        <w:rPr>
          <w:rFonts w:eastAsia="宋体"/>
          <w:iCs w:val="0"/>
          <w:szCs w:val="21"/>
        </w:rPr>
        <w:t xml:space="preserve">Proposal 2: </w:t>
      </w:r>
      <w:r>
        <w:rPr>
          <w:rFonts w:hint="eastAsia"/>
        </w:rPr>
        <w:t>Confirm the working assumption:</w:t>
      </w:r>
      <w:r>
        <w:rPr>
          <w:rFonts w:hint="eastAsia"/>
        </w:rPr>
        <w:fldChar w:fldCharType="end"/>
      </w:r>
    </w:p>
    <w:p>
      <w:pPr>
        <w:pStyle w:val="13"/>
        <w:tabs>
          <w:tab w:val="right" w:leader="dot" w:pos="9660"/>
          <w:tab w:val="clear" w:pos="0"/>
        </w:tabs>
        <w:spacing w:before="120" w:after="120"/>
      </w:pPr>
      <w:r>
        <w:fldChar w:fldCharType="begin"/>
      </w:r>
      <w:r>
        <w:instrText xml:space="preserve"> HYPERLINK \l "_Toc13823" </w:instrText>
      </w:r>
      <w:r>
        <w:fldChar w:fldCharType="separate"/>
      </w:r>
      <w:r>
        <w:t>Al-1-revised and A1-2-revised are supported</w:t>
      </w:r>
      <w:r>
        <w:fldChar w:fldCharType="end"/>
      </w:r>
    </w:p>
    <w:p>
      <w:pPr>
        <w:pStyle w:val="13"/>
        <w:tabs>
          <w:tab w:val="right" w:leader="dot" w:pos="9660"/>
          <w:tab w:val="clear" w:pos="0"/>
        </w:tabs>
        <w:spacing w:before="120" w:after="120"/>
      </w:pPr>
      <w:r>
        <w:fldChar w:fldCharType="begin"/>
      </w:r>
      <w:r>
        <w:instrText xml:space="preserve"> HYPERLINK \l "_Toc26511" </w:instrText>
      </w:r>
      <w:r>
        <w:fldChar w:fldCharType="separate"/>
      </w:r>
      <w:r>
        <w:rPr>
          <w:strike/>
        </w:rPr>
        <w:t>FFS: Which Type of SD adaptation A1-1-revised and A1-2-revised are applicable for</w:t>
      </w:r>
      <w:r>
        <w:rPr>
          <w:strike/>
        </w:rPr>
        <w:fldChar w:fldCharType="end"/>
      </w:r>
    </w:p>
    <w:p>
      <w:pPr>
        <w:pStyle w:val="13"/>
        <w:tabs>
          <w:tab w:val="right" w:leader="dot" w:pos="9660"/>
          <w:tab w:val="clear" w:pos="0"/>
        </w:tabs>
        <w:spacing w:before="120" w:after="120"/>
      </w:pPr>
      <w:r>
        <w:fldChar w:fldCharType="begin"/>
      </w:r>
      <w:r>
        <w:instrText xml:space="preserve"> HYPERLINK \l "_Toc5507" </w:instrText>
      </w:r>
      <w:r>
        <w:fldChar w:fldCharType="separate"/>
      </w:r>
      <w:r>
        <w:rPr>
          <w:rFonts w:eastAsia="宋体"/>
          <w:iCs w:val="0"/>
          <w:szCs w:val="21"/>
        </w:rPr>
        <w:t xml:space="preserve">Proposal 3: </w:t>
      </w:r>
      <w:r>
        <w:rPr>
          <w:rFonts w:hint="eastAsia"/>
        </w:rPr>
        <w:t>For A1-2-revised, the restriction that all CSI-RS resources within one set are configured with same nrofPorts should not be changed.</w:t>
      </w:r>
      <w:r>
        <w:rPr>
          <w:rFonts w:hint="eastAsia"/>
        </w:rPr>
        <w:fldChar w:fldCharType="end"/>
      </w:r>
    </w:p>
    <w:p>
      <w:pPr>
        <w:pStyle w:val="13"/>
        <w:tabs>
          <w:tab w:val="right" w:leader="dot" w:pos="9660"/>
          <w:tab w:val="clear" w:pos="0"/>
        </w:tabs>
        <w:spacing w:before="120" w:after="120"/>
      </w:pPr>
      <w:r>
        <w:fldChar w:fldCharType="begin"/>
      </w:r>
      <w:r>
        <w:instrText xml:space="preserve"> HYPERLINK \l "_Toc18091" </w:instrText>
      </w:r>
      <w:r>
        <w:fldChar w:fldCharType="separate"/>
      </w:r>
      <w:r>
        <w:rPr>
          <w:rFonts w:eastAsia="宋体"/>
          <w:iCs w:val="0"/>
          <w:szCs w:val="21"/>
        </w:rPr>
        <w:t xml:space="preserve">Proposal 4: </w:t>
      </w:r>
      <w:r>
        <w:t xml:space="preserve">For CSI report configuration, if L&gt;1 in a CSI report configuration, </w:t>
      </w:r>
      <w:r>
        <w:rPr>
          <w:rFonts w:hint="eastAsia"/>
        </w:rPr>
        <w:t xml:space="preserve">port subset indication </w:t>
      </w:r>
      <w:r>
        <w:t>(e.g., a bitmap) is explicitly included in each sub-configuration for Type 1 SD adaptation</w:t>
      </w:r>
      <w:r>
        <w:rPr>
          <w:rFonts w:hint="eastAsia"/>
        </w:rPr>
        <w:t>.</w:t>
      </w:r>
      <w:r>
        <w:rPr>
          <w:rFonts w:hint="eastAsia"/>
        </w:rPr>
        <w:fldChar w:fldCharType="end"/>
      </w:r>
    </w:p>
    <w:p>
      <w:pPr>
        <w:pStyle w:val="13"/>
        <w:tabs>
          <w:tab w:val="right" w:leader="dot" w:pos="9660"/>
          <w:tab w:val="clear" w:pos="0"/>
        </w:tabs>
        <w:spacing w:before="120" w:after="120"/>
      </w:pPr>
      <w:r>
        <w:fldChar w:fldCharType="begin"/>
      </w:r>
      <w:r>
        <w:instrText xml:space="preserve"> HYPERLINK \l "_Toc14679" </w:instrText>
      </w:r>
      <w:r>
        <w:fldChar w:fldCharType="separate"/>
      </w:r>
      <w:r>
        <w:rPr>
          <w:rFonts w:eastAsia="宋体"/>
          <w:iCs w:val="0"/>
          <w:szCs w:val="21"/>
        </w:rPr>
        <w:t xml:space="preserve">Proposal 5: </w:t>
      </w:r>
      <w:r>
        <w:t>To reduce signaling overhead and guarantee performance, e</w:t>
      </w:r>
      <w:r>
        <w:rPr>
          <w:rFonts w:hint="eastAsia"/>
        </w:rPr>
        <w:t xml:space="preserve">ach bit in a bitmap corresponds to two ports with different polarization directions </w:t>
      </w:r>
      <w:r>
        <w:t>but</w:t>
      </w:r>
      <w:r>
        <w:rPr>
          <w:rFonts w:hint="eastAsia"/>
        </w:rPr>
        <w:t xml:space="preserve"> in same position.</w:t>
      </w:r>
      <w:r>
        <w:rPr>
          <w:rFonts w:hint="eastAsia"/>
        </w:rPr>
        <w:fldChar w:fldCharType="end"/>
      </w:r>
    </w:p>
    <w:p>
      <w:pPr>
        <w:pStyle w:val="13"/>
        <w:tabs>
          <w:tab w:val="right" w:leader="dot" w:pos="9660"/>
          <w:tab w:val="clear" w:pos="0"/>
        </w:tabs>
        <w:spacing w:before="120" w:after="120"/>
      </w:pPr>
      <w:r>
        <w:fldChar w:fldCharType="begin"/>
      </w:r>
      <w:r>
        <w:instrText xml:space="preserve"> HYPERLINK \l "_Toc26969" </w:instrText>
      </w:r>
      <w:r>
        <w:fldChar w:fldCharType="separate"/>
      </w:r>
      <w:r>
        <w:rPr>
          <w:rFonts w:eastAsia="宋体"/>
          <w:iCs w:val="0"/>
          <w:szCs w:val="21"/>
        </w:rPr>
        <w:t xml:space="preserve">Proposal 6: </w:t>
      </w:r>
      <w:r>
        <w:rPr>
          <w:rFonts w:hint="eastAsia"/>
        </w:rPr>
        <w:t>If reporting a common PMI for multi-CSIs is supported, configur</w:t>
      </w:r>
      <w:r>
        <w:t>ing one set of</w:t>
      </w:r>
      <w:r>
        <w:rPr>
          <w:rFonts w:hint="eastAsia"/>
        </w:rPr>
        <w:t xml:space="preserve"> parameters </w:t>
      </w:r>
      <w:r>
        <w:t>of</w:t>
      </w:r>
      <w:r>
        <w:rPr>
          <w:rFonts w:hint="eastAsia"/>
        </w:rPr>
        <w:t xml:space="preserve"> PMI</w:t>
      </w:r>
      <w:r>
        <w:t xml:space="preserve"> </w:t>
      </w:r>
      <w:r>
        <w:rPr>
          <w:rFonts w:hint="eastAsia"/>
        </w:rPr>
        <w:t>(e.g., N1, N2, Ng, codebook subset restriction, codebook type)</w:t>
      </w:r>
      <w:r>
        <w:t xml:space="preserve"> for the CSI report sub-configuration corresponding to the </w:t>
      </w:r>
      <w:r>
        <w:rPr>
          <w:rFonts w:hint="eastAsia"/>
        </w:rPr>
        <w:t>largest number of ports.</w:t>
      </w:r>
      <w:r>
        <w:rPr>
          <w:rFonts w:hint="eastAsia"/>
        </w:rPr>
        <w:fldChar w:fldCharType="end"/>
      </w:r>
    </w:p>
    <w:p>
      <w:pPr>
        <w:pStyle w:val="13"/>
        <w:tabs>
          <w:tab w:val="right" w:leader="dot" w:pos="9660"/>
          <w:tab w:val="clear" w:pos="0"/>
        </w:tabs>
        <w:spacing w:before="120" w:after="120"/>
      </w:pPr>
      <w:r>
        <w:fldChar w:fldCharType="begin"/>
      </w:r>
      <w:r>
        <w:instrText xml:space="preserve"> HYPERLINK \l "_Toc12790" </w:instrText>
      </w:r>
      <w:r>
        <w:fldChar w:fldCharType="separate"/>
      </w:r>
      <w:r>
        <w:fldChar w:fldCharType="end"/>
      </w:r>
      <w:r>
        <w:fldChar w:fldCharType="begin"/>
      </w:r>
      <w:r>
        <w:instrText xml:space="preserve"> HYPERLINK \l "_Toc15399" </w:instrText>
      </w:r>
      <w:r>
        <w:fldChar w:fldCharType="separate"/>
      </w:r>
      <w:r>
        <w:rPr>
          <w:rFonts w:eastAsia="宋体"/>
          <w:iCs w:val="0"/>
          <w:szCs w:val="21"/>
        </w:rPr>
        <w:t xml:space="preserve">Proposal 7: </w:t>
      </w:r>
      <w:r>
        <w:t>Reporting only one PMI with the largest number of ports for multiple CSIs report should be considered to reduce the UCI overhead.</w:t>
      </w:r>
      <w:r>
        <w:fldChar w:fldCharType="end"/>
      </w:r>
    </w:p>
    <w:p>
      <w:pPr>
        <w:pStyle w:val="13"/>
        <w:tabs>
          <w:tab w:val="right" w:leader="dot" w:pos="9660"/>
          <w:tab w:val="clear" w:pos="0"/>
        </w:tabs>
        <w:spacing w:before="120" w:after="120"/>
      </w:pPr>
      <w:r>
        <w:fldChar w:fldCharType="begin"/>
      </w:r>
      <w:r>
        <w:instrText xml:space="preserve"> HYPERLINK \l "_Toc26540" </w:instrText>
      </w:r>
      <w:r>
        <w:fldChar w:fldCharType="separate"/>
      </w:r>
      <w:r>
        <w:rPr>
          <w:rFonts w:eastAsia="宋体"/>
          <w:iCs w:val="0"/>
          <w:szCs w:val="21"/>
        </w:rPr>
        <w:t xml:space="preserve">Proposal 8: </w:t>
      </w:r>
      <w:r>
        <w:rPr>
          <w:rFonts w:hint="eastAsia"/>
        </w:rPr>
        <w:t>The port subset indication should follow certain rules and cannot be arbitrarily indicated to ensure that system performance is not severely affected.</w:t>
      </w:r>
      <w:r>
        <w:rPr>
          <w:rFonts w:hint="eastAsia"/>
        </w:rPr>
        <w:fldChar w:fldCharType="end"/>
      </w:r>
    </w:p>
    <w:p>
      <w:pPr>
        <w:pStyle w:val="13"/>
        <w:tabs>
          <w:tab w:val="right" w:leader="dot" w:pos="9660"/>
          <w:tab w:val="clear" w:pos="0"/>
        </w:tabs>
        <w:spacing w:before="120" w:after="120"/>
      </w:pPr>
      <w:r>
        <w:fldChar w:fldCharType="begin"/>
      </w:r>
      <w:r>
        <w:instrText xml:space="preserve"> HYPERLINK \l "_Toc25666" </w:instrText>
      </w:r>
      <w:r>
        <w:fldChar w:fldCharType="separate"/>
      </w:r>
      <w:r>
        <w:rPr>
          <w:rFonts w:eastAsia="宋体"/>
          <w:iCs w:val="0"/>
          <w:szCs w:val="21"/>
        </w:rPr>
        <w:t xml:space="preserve">Proposal 9: </w:t>
      </w:r>
      <w:r>
        <w:rPr>
          <w:rFonts w:hint="eastAsia"/>
        </w:rPr>
        <w:t xml:space="preserve">Differential RI </w:t>
      </w:r>
      <w:r>
        <w:t>should</w:t>
      </w:r>
      <w:r>
        <w:rPr>
          <w:rFonts w:hint="eastAsia"/>
        </w:rPr>
        <w:t xml:space="preserve"> be considered to reduce U</w:t>
      </w:r>
      <w:r>
        <w:t>CI</w:t>
      </w:r>
      <w:r>
        <w:rPr>
          <w:rFonts w:hint="eastAsia"/>
        </w:rPr>
        <w:t xml:space="preserve"> overhead.</w:t>
      </w:r>
      <w:r>
        <w:rPr>
          <w:rFonts w:hint="eastAsia"/>
        </w:rPr>
        <w:fldChar w:fldCharType="end"/>
      </w:r>
    </w:p>
    <w:p>
      <w:pPr>
        <w:pStyle w:val="13"/>
        <w:tabs>
          <w:tab w:val="right" w:leader="dot" w:pos="9660"/>
          <w:tab w:val="clear" w:pos="0"/>
        </w:tabs>
        <w:spacing w:before="120" w:after="120"/>
      </w:pPr>
      <w:r>
        <w:fldChar w:fldCharType="begin"/>
      </w:r>
      <w:r>
        <w:instrText xml:space="preserve"> HYPERLINK \l "_Toc6333" </w:instrText>
      </w:r>
      <w:r>
        <w:fldChar w:fldCharType="separate"/>
      </w:r>
      <w:r>
        <w:rPr>
          <w:rFonts w:eastAsia="宋体"/>
          <w:iCs w:val="0"/>
          <w:szCs w:val="21"/>
        </w:rPr>
        <w:t xml:space="preserve">Proposal 10: </w:t>
      </w:r>
      <w:r>
        <w:rPr>
          <w:rFonts w:hint="eastAsia"/>
        </w:rPr>
        <w:t xml:space="preserve">The following differential RI report </w:t>
      </w:r>
      <w:r>
        <w:t>should</w:t>
      </w:r>
      <w:r>
        <w:rPr>
          <w:rFonts w:hint="eastAsia"/>
        </w:rPr>
        <w:t xml:space="preserve"> be considered.</w:t>
      </w:r>
      <w:r>
        <w:rPr>
          <w:rFonts w:hint="eastAsia"/>
        </w:rPr>
        <w:fldChar w:fldCharType="end"/>
      </w:r>
    </w:p>
    <w:p>
      <w:pPr>
        <w:spacing w:before="120" w:after="120"/>
        <w:jc w:val="center"/>
        <w:rPr>
          <w:b/>
        </w:rPr>
      </w:pPr>
      <w:r>
        <w:rPr>
          <w:b/>
        </w:rPr>
        <w:t>Differential RI report</w:t>
      </w:r>
    </w:p>
    <w:tbl>
      <w:tblPr>
        <w:tblStyle w:val="1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92"/>
        <w:gridCol w:w="32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92" w:type="dxa"/>
            <w:tcBorders>
              <w:top w:val="single" w:color="auto" w:sz="4" w:space="0"/>
              <w:left w:val="single" w:color="auto" w:sz="4" w:space="0"/>
              <w:bottom w:val="single" w:color="auto" w:sz="4" w:space="0"/>
              <w:right w:val="single" w:color="auto" w:sz="4" w:space="0"/>
            </w:tcBorders>
          </w:tcPr>
          <w:p>
            <w:pPr>
              <w:pStyle w:val="8"/>
              <w:spacing w:before="120"/>
              <w:rPr>
                <w:b/>
              </w:rPr>
            </w:pPr>
            <w:r>
              <w:rPr>
                <w:b/>
              </w:rPr>
              <w:t>Differential RI codepoint</w:t>
            </w:r>
          </w:p>
        </w:tc>
        <w:tc>
          <w:tcPr>
            <w:tcW w:w="3292" w:type="dxa"/>
            <w:tcBorders>
              <w:top w:val="single" w:color="auto" w:sz="4" w:space="0"/>
              <w:left w:val="nil"/>
              <w:bottom w:val="single" w:color="auto" w:sz="4" w:space="0"/>
              <w:right w:val="single" w:color="auto" w:sz="4" w:space="0"/>
            </w:tcBorders>
          </w:tcPr>
          <w:p>
            <w:pPr>
              <w:pStyle w:val="8"/>
              <w:spacing w:before="120"/>
              <w:rPr>
                <w:b/>
              </w:rPr>
            </w:pPr>
            <w:r>
              <w:rPr>
                <w:b/>
              </w:rPr>
              <w:t>Offset 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92" w:type="dxa"/>
            <w:tcBorders>
              <w:top w:val="single" w:color="auto" w:sz="4" w:space="0"/>
              <w:left w:val="single" w:color="auto" w:sz="4" w:space="0"/>
              <w:bottom w:val="single" w:color="auto" w:sz="4" w:space="0"/>
              <w:right w:val="single" w:color="auto" w:sz="4" w:space="0"/>
            </w:tcBorders>
          </w:tcPr>
          <w:p>
            <w:pPr>
              <w:pStyle w:val="8"/>
              <w:spacing w:before="120"/>
              <w:rPr>
                <w:b/>
              </w:rPr>
            </w:pPr>
            <w:r>
              <w:rPr>
                <w:b/>
              </w:rPr>
              <w:t>0</w:t>
            </w:r>
          </w:p>
        </w:tc>
        <w:tc>
          <w:tcPr>
            <w:tcW w:w="3292" w:type="dxa"/>
            <w:tcBorders>
              <w:top w:val="single" w:color="auto" w:sz="4" w:space="0"/>
              <w:left w:val="nil"/>
              <w:bottom w:val="single" w:color="auto" w:sz="4" w:space="0"/>
              <w:right w:val="single" w:color="auto" w:sz="4" w:space="0"/>
            </w:tcBorders>
          </w:tcPr>
          <w:p>
            <w:pPr>
              <w:pStyle w:val="8"/>
              <w:spacing w:before="120"/>
              <w:rPr>
                <w:b/>
              </w:rPr>
            </w:pPr>
            <w:r>
              <w:rPr>
                <w:b/>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92" w:type="dxa"/>
            <w:tcBorders>
              <w:top w:val="single" w:color="auto" w:sz="4" w:space="0"/>
              <w:left w:val="single" w:color="auto" w:sz="4" w:space="0"/>
              <w:bottom w:val="single" w:color="auto" w:sz="4" w:space="0"/>
              <w:right w:val="single" w:color="auto" w:sz="4" w:space="0"/>
            </w:tcBorders>
          </w:tcPr>
          <w:p>
            <w:pPr>
              <w:pStyle w:val="8"/>
              <w:spacing w:before="120"/>
              <w:rPr>
                <w:b/>
              </w:rPr>
            </w:pPr>
            <w:r>
              <w:rPr>
                <w:b/>
              </w:rPr>
              <w:t>1</w:t>
            </w:r>
          </w:p>
        </w:tc>
        <w:tc>
          <w:tcPr>
            <w:tcW w:w="3292" w:type="dxa"/>
            <w:tcBorders>
              <w:top w:val="single" w:color="auto" w:sz="4" w:space="0"/>
              <w:left w:val="nil"/>
              <w:bottom w:val="single" w:color="auto" w:sz="4" w:space="0"/>
              <w:right w:val="single" w:color="auto" w:sz="4" w:space="0"/>
            </w:tcBorders>
          </w:tcPr>
          <w:p>
            <w:pPr>
              <w:pStyle w:val="8"/>
              <w:spacing w:before="120"/>
              <w:rPr>
                <w:b/>
              </w:rPr>
            </w:pPr>
            <w:r>
              <w:rPr>
                <w:b/>
              </w:rPr>
              <w:t>-1</w:t>
            </w:r>
          </w:p>
        </w:tc>
      </w:tr>
    </w:tbl>
    <w:p>
      <w:pPr>
        <w:pStyle w:val="13"/>
        <w:tabs>
          <w:tab w:val="right" w:leader="dot" w:pos="9660"/>
          <w:tab w:val="clear" w:pos="0"/>
        </w:tabs>
        <w:spacing w:before="120" w:after="120"/>
      </w:pPr>
      <w:r>
        <w:fldChar w:fldCharType="begin"/>
      </w:r>
      <w:r>
        <w:instrText xml:space="preserve"> HYPERLINK \l "_Toc17795" </w:instrText>
      </w:r>
      <w:r>
        <w:fldChar w:fldCharType="separate"/>
      </w:r>
      <w:r>
        <w:t>Where o</w:t>
      </w:r>
      <w:r>
        <w:rPr>
          <w:rFonts w:hint="eastAsia"/>
        </w:rPr>
        <w:t xml:space="preserve">ffset value = </w:t>
      </w:r>
      <w:r>
        <w:t>target</w:t>
      </w:r>
      <w:r>
        <w:rPr>
          <w:rFonts w:hint="eastAsia"/>
        </w:rPr>
        <w:t xml:space="preserve"> RI value - </w:t>
      </w:r>
      <w:r>
        <w:t>reference</w:t>
      </w:r>
      <w:r>
        <w:rPr>
          <w:rFonts w:hint="eastAsia"/>
        </w:rPr>
        <w:t xml:space="preserve"> RI value</w:t>
      </w:r>
      <w:r>
        <w:t>, and reference</w:t>
      </w:r>
      <w:r>
        <w:rPr>
          <w:rFonts w:hint="eastAsia"/>
        </w:rPr>
        <w:t xml:space="preserve"> RI value is the RI for </w:t>
      </w:r>
      <w:r>
        <w:t xml:space="preserve">the </w:t>
      </w:r>
      <w:r>
        <w:rPr>
          <w:rFonts w:hint="eastAsia"/>
        </w:rPr>
        <w:t>larg</w:t>
      </w:r>
      <w:r>
        <w:t>est</w:t>
      </w:r>
      <w:r>
        <w:rPr>
          <w:rFonts w:hint="eastAsia"/>
        </w:rPr>
        <w:t xml:space="preserve"> port numbers.</w:t>
      </w:r>
      <w:r>
        <w:rPr>
          <w:rFonts w:hint="eastAsia"/>
        </w:rPr>
        <w:fldChar w:fldCharType="end"/>
      </w:r>
    </w:p>
    <w:p>
      <w:pPr>
        <w:pStyle w:val="13"/>
        <w:tabs>
          <w:tab w:val="right" w:leader="dot" w:pos="9660"/>
          <w:tab w:val="clear" w:pos="0"/>
        </w:tabs>
        <w:spacing w:before="120" w:after="120"/>
      </w:pPr>
      <w:r>
        <w:fldChar w:fldCharType="begin"/>
      </w:r>
      <w:r>
        <w:instrText xml:space="preserve"> HYPERLINK \l "_Toc17851" </w:instrText>
      </w:r>
      <w:r>
        <w:fldChar w:fldCharType="separate"/>
      </w:r>
      <w:r>
        <w:rPr>
          <w:rFonts w:eastAsia="宋体"/>
          <w:iCs w:val="0"/>
          <w:szCs w:val="21"/>
        </w:rPr>
        <w:t xml:space="preserve">Proposal 11: </w:t>
      </w:r>
      <w:r>
        <w:rPr>
          <w:rFonts w:hint="eastAsia"/>
        </w:rPr>
        <w:t xml:space="preserve">Differential CQI can be considered to reduce </w:t>
      </w:r>
      <w:r>
        <w:t>UCI</w:t>
      </w:r>
      <w:r>
        <w:rPr>
          <w:rFonts w:hint="eastAsia"/>
        </w:rPr>
        <w:t xml:space="preserve"> overhead.</w:t>
      </w:r>
      <w:r>
        <w:rPr>
          <w:rFonts w:hint="eastAsia"/>
        </w:rPr>
        <w:fldChar w:fldCharType="end"/>
      </w:r>
    </w:p>
    <w:p>
      <w:pPr>
        <w:pStyle w:val="13"/>
        <w:tabs>
          <w:tab w:val="right" w:leader="dot" w:pos="9660"/>
          <w:tab w:val="clear" w:pos="0"/>
        </w:tabs>
        <w:spacing w:before="120" w:after="120"/>
      </w:pPr>
      <w:r>
        <w:fldChar w:fldCharType="begin"/>
      </w:r>
      <w:r>
        <w:instrText xml:space="preserve"> HYPERLINK \l "_Toc16872" </w:instrText>
      </w:r>
      <w:r>
        <w:fldChar w:fldCharType="separate"/>
      </w:r>
      <w:r>
        <w:rPr>
          <w:rFonts w:eastAsia="宋体"/>
          <w:iCs w:val="0"/>
          <w:szCs w:val="21"/>
        </w:rPr>
        <w:t xml:space="preserve">Proposal 12: </w:t>
      </w:r>
      <w:r>
        <w:rPr>
          <w:rFonts w:hint="eastAsia"/>
        </w:rPr>
        <w:t>The following differential CQI report for wideband CQI can be considered.</w:t>
      </w:r>
      <w:r>
        <w:rPr>
          <w:rFonts w:hint="eastAsia"/>
        </w:rPr>
        <w:fldChar w:fldCharType="end"/>
      </w:r>
    </w:p>
    <w:p>
      <w:pPr>
        <w:pStyle w:val="31"/>
        <w:numPr>
          <w:ilvl w:val="0"/>
          <w:numId w:val="0"/>
        </w:numPr>
        <w:spacing w:before="120" w:after="120"/>
        <w:rPr>
          <w:lang w:val="en-US" w:eastAsia="zh-CN"/>
        </w:rPr>
      </w:pP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Differential CQI report</w:t>
      </w:r>
    </w:p>
    <w:tbl>
      <w:tblPr>
        <w:tblStyle w:val="1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92"/>
        <w:gridCol w:w="32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292" w:type="dxa"/>
          </w:tcPr>
          <w:p>
            <w:pPr>
              <w:pStyle w:val="31"/>
              <w:numPr>
                <w:ilvl w:val="0"/>
                <w:numId w:val="0"/>
              </w:numPr>
              <w:spacing w:before="120" w:after="120"/>
              <w:rPr>
                <w:lang w:val="en-US" w:eastAsia="zh-CN"/>
              </w:rPr>
            </w:pPr>
            <w:r>
              <w:rPr>
                <w:rFonts w:hint="eastAsia"/>
                <w:lang w:val="en-US" w:eastAsia="zh-CN"/>
              </w:rPr>
              <w:t>Differential CQI codepoint</w:t>
            </w:r>
          </w:p>
        </w:tc>
        <w:tc>
          <w:tcPr>
            <w:tcW w:w="3292" w:type="dxa"/>
          </w:tcPr>
          <w:p>
            <w:pPr>
              <w:pStyle w:val="31"/>
              <w:numPr>
                <w:ilvl w:val="0"/>
                <w:numId w:val="0"/>
              </w:numPr>
              <w:spacing w:before="120" w:after="120"/>
              <w:rPr>
                <w:lang w:val="en-US" w:eastAsia="zh-CN"/>
              </w:rPr>
            </w:pPr>
            <w:r>
              <w:rPr>
                <w:rFonts w:hint="eastAsia"/>
                <w:lang w:val="en-US" w:eastAsia="zh-CN"/>
              </w:rPr>
              <w:t>Offset 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92" w:type="dxa"/>
          </w:tcPr>
          <w:p>
            <w:pPr>
              <w:pStyle w:val="31"/>
              <w:numPr>
                <w:ilvl w:val="0"/>
                <w:numId w:val="0"/>
              </w:numPr>
              <w:spacing w:before="120" w:after="120"/>
              <w:rPr>
                <w:lang w:val="en-US" w:eastAsia="zh-CN"/>
              </w:rPr>
            </w:pPr>
            <w:r>
              <w:rPr>
                <w:rFonts w:hint="eastAsia"/>
                <w:lang w:val="en-US" w:eastAsia="zh-CN"/>
              </w:rPr>
              <w:t>0</w:t>
            </w:r>
          </w:p>
        </w:tc>
        <w:tc>
          <w:tcPr>
            <w:tcW w:w="3292" w:type="dxa"/>
          </w:tcPr>
          <w:p>
            <w:pPr>
              <w:pStyle w:val="31"/>
              <w:numPr>
                <w:ilvl w:val="0"/>
                <w:numId w:val="0"/>
              </w:numPr>
              <w:spacing w:before="120" w:after="12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92" w:type="dxa"/>
          </w:tcPr>
          <w:p>
            <w:pPr>
              <w:pStyle w:val="31"/>
              <w:numPr>
                <w:ilvl w:val="0"/>
                <w:numId w:val="0"/>
              </w:numPr>
              <w:spacing w:before="120" w:after="120"/>
              <w:rPr>
                <w:lang w:val="en-US" w:eastAsia="zh-CN"/>
              </w:rPr>
            </w:pPr>
            <w:r>
              <w:rPr>
                <w:rFonts w:hint="eastAsia"/>
                <w:lang w:val="en-US" w:eastAsia="zh-CN"/>
              </w:rPr>
              <w:t>1</w:t>
            </w:r>
          </w:p>
        </w:tc>
        <w:tc>
          <w:tcPr>
            <w:tcW w:w="3292" w:type="dxa"/>
          </w:tcPr>
          <w:p>
            <w:pPr>
              <w:pStyle w:val="31"/>
              <w:numPr>
                <w:ilvl w:val="0"/>
                <w:numId w:val="0"/>
              </w:numPr>
              <w:spacing w:before="120" w:after="120"/>
              <w:rPr>
                <w:lang w:val="en-US" w:eastAsia="zh-CN"/>
              </w:rPr>
            </w:pPr>
            <w:r>
              <w:rPr>
                <w:rFonts w:hint="eastAsia"/>
                <w:lang w:val="en-US" w:eastAsia="zh-CN"/>
              </w:rPr>
              <w:t>&lt;0</w:t>
            </w:r>
          </w:p>
        </w:tc>
      </w:tr>
    </w:tbl>
    <w:p>
      <w:pPr>
        <w:pStyle w:val="13"/>
        <w:tabs>
          <w:tab w:val="right" w:leader="dot" w:pos="9660"/>
          <w:tab w:val="clear" w:pos="0"/>
        </w:tabs>
        <w:spacing w:before="120" w:after="120"/>
      </w:pPr>
      <w:r>
        <w:fldChar w:fldCharType="begin"/>
      </w:r>
      <w:r>
        <w:instrText xml:space="preserve"> HYPERLINK \l "_Toc23431" </w:instrText>
      </w:r>
      <w:r>
        <w:fldChar w:fldCharType="separate"/>
      </w:r>
      <w:r>
        <w:rPr>
          <w:rFonts w:hint="eastAsia"/>
        </w:rPr>
        <w:t xml:space="preserve">Offset value = wideband CQI index - </w:t>
      </w:r>
      <w:r>
        <w:t>reference</w:t>
      </w:r>
      <w:r>
        <w:rPr>
          <w:rFonts w:hint="eastAsia"/>
        </w:rPr>
        <w:t xml:space="preserve"> wideband CQI index</w:t>
      </w:r>
      <w:r>
        <w:t>.</w:t>
      </w:r>
      <w:r>
        <w:fldChar w:fldCharType="end"/>
      </w:r>
    </w:p>
    <w:p>
      <w:pPr>
        <w:pStyle w:val="13"/>
        <w:tabs>
          <w:tab w:val="right" w:leader="dot" w:pos="9660"/>
          <w:tab w:val="clear" w:pos="0"/>
        </w:tabs>
        <w:spacing w:before="120" w:after="120"/>
      </w:pPr>
      <w:r>
        <w:fldChar w:fldCharType="begin"/>
      </w:r>
      <w:r>
        <w:instrText xml:space="preserve"> HYPERLINK \l "_Toc25177" </w:instrText>
      </w:r>
      <w:r>
        <w:fldChar w:fldCharType="separate"/>
      </w:r>
      <w:r>
        <w:rPr>
          <w:rFonts w:eastAsia="宋体"/>
          <w:iCs w:val="0"/>
          <w:szCs w:val="21"/>
        </w:rPr>
        <w:t xml:space="preserve">Proposal 13: </w:t>
      </w:r>
      <w:r>
        <w:rPr>
          <w:rFonts w:hint="eastAsia"/>
        </w:rPr>
        <w:t xml:space="preserve">To better adapt </w:t>
      </w:r>
      <w:r>
        <w:t>to</w:t>
      </w:r>
      <w:r>
        <w:rPr>
          <w:rFonts w:hint="eastAsia"/>
        </w:rPr>
        <w:t xml:space="preserve"> </w:t>
      </w:r>
      <w:r>
        <w:t>CSI</w:t>
      </w:r>
      <w:r>
        <w:rPr>
          <w:rFonts w:hint="eastAsia"/>
        </w:rPr>
        <w:t xml:space="preserve"> reporting</w:t>
      </w:r>
      <w:r>
        <w:t xml:space="preserve"> requirements</w:t>
      </w:r>
      <w:r>
        <w:rPr>
          <w:rFonts w:hint="eastAsia"/>
        </w:rPr>
        <w:t>, dynamic indicat</w:t>
      </w:r>
      <w:r>
        <w:t>ion of</w:t>
      </w:r>
      <w:r>
        <w:rPr>
          <w:rFonts w:hint="eastAsia"/>
        </w:rPr>
        <w:t xml:space="preserve"> N </w:t>
      </w:r>
      <w:r>
        <w:t>≤</w:t>
      </w:r>
      <w:r>
        <w:rPr>
          <w:rFonts w:hint="eastAsia"/>
        </w:rPr>
        <w:t xml:space="preserve"> L CSIs can be considered.</w:t>
      </w:r>
      <w:r>
        <w:rPr>
          <w:rFonts w:hint="eastAsia"/>
        </w:rPr>
        <w:fldChar w:fldCharType="end"/>
      </w:r>
    </w:p>
    <w:p>
      <w:pPr>
        <w:pStyle w:val="13"/>
        <w:tabs>
          <w:tab w:val="right" w:leader="dot" w:pos="9660"/>
          <w:tab w:val="clear" w:pos="0"/>
        </w:tabs>
        <w:spacing w:before="120" w:after="120"/>
      </w:pPr>
      <w:r>
        <w:fldChar w:fldCharType="begin"/>
      </w:r>
      <w:r>
        <w:instrText xml:space="preserve"> HYPERLINK \l "_Toc7987" </w:instrText>
      </w:r>
      <w:r>
        <w:fldChar w:fldCharType="separate"/>
      </w:r>
      <w:r>
        <w:rPr>
          <w:rFonts w:eastAsia="宋体"/>
          <w:iCs w:val="0"/>
          <w:szCs w:val="21"/>
        </w:rPr>
        <w:t xml:space="preserve">Proposal 14: </w:t>
      </w:r>
      <w:r>
        <w:rPr>
          <w:rFonts w:hint="eastAsia"/>
        </w:rPr>
        <w:t xml:space="preserve">gNB </w:t>
      </w:r>
      <w:r>
        <w:t xml:space="preserve">can </w:t>
      </w:r>
      <w:r>
        <w:rPr>
          <w:rFonts w:hint="eastAsia"/>
        </w:rPr>
        <w:t>configure multiple sub-configuration</w:t>
      </w:r>
      <w:r>
        <w:t xml:space="preserve">s </w:t>
      </w:r>
      <w:r>
        <w:rPr>
          <w:rFonts w:hint="eastAsia"/>
        </w:rPr>
        <w:t>(</w:t>
      </w:r>
      <w:r>
        <w:t>e</w:t>
      </w:r>
      <w:r>
        <w:rPr>
          <w:rFonts w:hint="eastAsia"/>
        </w:rPr>
        <w:t>.</w:t>
      </w:r>
      <w:r>
        <w:t>g</w:t>
      </w:r>
      <w:r>
        <w:rPr>
          <w:rFonts w:hint="eastAsia"/>
        </w:rPr>
        <w:t xml:space="preserve">., port subset indication) candidates by RRC signaling, and use L1 signaling to select one or more </w:t>
      </w:r>
      <w:r>
        <w:t xml:space="preserve">candidates </w:t>
      </w:r>
      <w:r>
        <w:rPr>
          <w:rFonts w:hint="eastAsia"/>
        </w:rPr>
        <w:t xml:space="preserve">from </w:t>
      </w:r>
      <w:r>
        <w:t>RRC configuration</w:t>
      </w:r>
      <w:r>
        <w:rPr>
          <w:rFonts w:hint="eastAsia"/>
        </w:rPr>
        <w:t>.</w:t>
      </w:r>
      <w:r>
        <w:rPr>
          <w:rFonts w:hint="eastAsia"/>
        </w:rPr>
        <w:fldChar w:fldCharType="end"/>
      </w:r>
    </w:p>
    <w:p>
      <w:pPr>
        <w:pStyle w:val="13"/>
        <w:tabs>
          <w:tab w:val="right" w:leader="dot" w:pos="9660"/>
          <w:tab w:val="clear" w:pos="0"/>
        </w:tabs>
        <w:spacing w:before="120" w:after="120"/>
      </w:pPr>
      <w:r>
        <w:fldChar w:fldCharType="begin"/>
      </w:r>
      <w:r>
        <w:instrText xml:space="preserve"> HYPERLINK \l "_Toc18152" </w:instrText>
      </w:r>
      <w:r>
        <w:fldChar w:fldCharType="separate"/>
      </w:r>
      <w:r>
        <w:rPr>
          <w:rFonts w:eastAsia="宋体"/>
          <w:iCs w:val="0"/>
          <w:szCs w:val="21"/>
        </w:rPr>
        <w:t xml:space="preserve">Proposal 15: </w:t>
      </w:r>
      <w:r>
        <w:rPr>
          <w:rFonts w:hint="eastAsia"/>
        </w:rPr>
        <w:t xml:space="preserve">For aperiodic CSI report, the following two </w:t>
      </w:r>
      <w:r>
        <w:t>solutions</w:t>
      </w:r>
      <w:r>
        <w:rPr>
          <w:rFonts w:hint="eastAsia"/>
        </w:rPr>
        <w:t xml:space="preserve"> to trigger N CSIs from L sub-configurations can be considered:</w:t>
      </w:r>
      <w:r>
        <w:rPr>
          <w:rFonts w:hint="eastAsia"/>
        </w:rPr>
        <w:fldChar w:fldCharType="end"/>
      </w:r>
    </w:p>
    <w:p>
      <w:pPr>
        <w:pStyle w:val="13"/>
        <w:tabs>
          <w:tab w:val="right" w:leader="dot" w:pos="9660"/>
          <w:tab w:val="clear" w:pos="0"/>
        </w:tabs>
        <w:spacing w:before="120" w:after="120"/>
      </w:pPr>
      <w:r>
        <w:fldChar w:fldCharType="begin"/>
      </w:r>
      <w:r>
        <w:instrText xml:space="preserve"> HYPERLINK \l "_Toc32366" </w:instrText>
      </w:r>
      <w:r>
        <w:fldChar w:fldCharType="separate"/>
      </w:r>
      <w:r>
        <w:t>Solution</w:t>
      </w:r>
      <w:r>
        <w:rPr>
          <w:rFonts w:hint="eastAsia"/>
        </w:rPr>
        <w:t xml:space="preserve"> #</w:t>
      </w:r>
      <w:r>
        <w:t>AP-1</w:t>
      </w:r>
      <w:r>
        <w:rPr>
          <w:rFonts w:hint="eastAsia"/>
        </w:rPr>
        <w:t>: Each trigger state associates with N sub-configurations.</w:t>
      </w:r>
      <w:r>
        <w:rPr>
          <w:rFonts w:hint="eastAsia"/>
        </w:rPr>
        <w:fldChar w:fldCharType="end"/>
      </w:r>
    </w:p>
    <w:p>
      <w:pPr>
        <w:pStyle w:val="13"/>
        <w:tabs>
          <w:tab w:val="right" w:leader="dot" w:pos="9660"/>
          <w:tab w:val="clear" w:pos="0"/>
        </w:tabs>
        <w:spacing w:before="120" w:after="120"/>
      </w:pPr>
      <w:r>
        <w:fldChar w:fldCharType="begin"/>
      </w:r>
      <w:r>
        <w:instrText xml:space="preserve"> HYPERLINK \l "_Toc12189" </w:instrText>
      </w:r>
      <w:r>
        <w:fldChar w:fldCharType="separate"/>
      </w:r>
      <w:r>
        <w:t>Solution</w:t>
      </w:r>
      <w:r>
        <w:rPr>
          <w:rFonts w:hint="eastAsia"/>
        </w:rPr>
        <w:t xml:space="preserve"> #</w:t>
      </w:r>
      <w:r>
        <w:t>AP-2</w:t>
      </w:r>
      <w:r>
        <w:rPr>
          <w:rFonts w:hint="eastAsia"/>
        </w:rPr>
        <w:t>: Using a new field to indicate N sub-configurations.</w:t>
      </w:r>
      <w:r>
        <w:rPr>
          <w:rFonts w:hint="eastAsia"/>
        </w:rPr>
        <w:fldChar w:fldCharType="end"/>
      </w:r>
    </w:p>
    <w:p>
      <w:pPr>
        <w:pStyle w:val="13"/>
        <w:tabs>
          <w:tab w:val="right" w:leader="dot" w:pos="9660"/>
          <w:tab w:val="clear" w:pos="0"/>
        </w:tabs>
        <w:spacing w:before="120" w:after="120"/>
      </w:pPr>
      <w:r>
        <w:fldChar w:fldCharType="begin"/>
      </w:r>
      <w:r>
        <w:instrText xml:space="preserve"> HYPERLINK \l "_Toc10685" </w:instrText>
      </w:r>
      <w:r>
        <w:fldChar w:fldCharType="separate"/>
      </w:r>
      <w:r>
        <w:rPr>
          <w:rFonts w:eastAsia="宋体"/>
          <w:iCs w:val="0"/>
          <w:szCs w:val="21"/>
        </w:rPr>
        <w:t xml:space="preserve">Proposal 16: </w:t>
      </w:r>
      <w:r>
        <w:rPr>
          <w:rFonts w:hint="eastAsia"/>
        </w:rPr>
        <w:t xml:space="preserve">For semi-persistent CSI report, the following </w:t>
      </w:r>
      <w:r>
        <w:t>solutions</w:t>
      </w:r>
      <w:r>
        <w:rPr>
          <w:rFonts w:hint="eastAsia"/>
        </w:rPr>
        <w:t xml:space="preserve"> to trigger N CSIs from L sub-configurations can be considered:</w:t>
      </w:r>
      <w:r>
        <w:rPr>
          <w:rFonts w:hint="eastAsia"/>
        </w:rPr>
        <w:fldChar w:fldCharType="end"/>
      </w:r>
    </w:p>
    <w:p>
      <w:pPr>
        <w:pStyle w:val="13"/>
        <w:tabs>
          <w:tab w:val="right" w:leader="dot" w:pos="9660"/>
          <w:tab w:val="clear" w:pos="0"/>
        </w:tabs>
        <w:spacing w:before="120" w:after="120"/>
      </w:pPr>
      <w:r>
        <w:fldChar w:fldCharType="begin"/>
      </w:r>
      <w:r>
        <w:instrText xml:space="preserve"> HYPERLINK \l "_Toc4994" </w:instrText>
      </w:r>
      <w:r>
        <w:fldChar w:fldCharType="separate"/>
      </w:r>
      <w:r>
        <w:t>Solution</w:t>
      </w:r>
      <w:r>
        <w:rPr>
          <w:rFonts w:hint="eastAsia"/>
        </w:rPr>
        <w:t>#</w:t>
      </w:r>
      <w:r>
        <w:t>SP-</w:t>
      </w:r>
      <w:r>
        <w:rPr>
          <w:rFonts w:hint="eastAsia"/>
        </w:rPr>
        <w:t>1: Adding new fields to indicate N sub-configurations in current MAC CE and DCI.</w:t>
      </w:r>
      <w:r>
        <w:rPr>
          <w:rFonts w:hint="eastAsia"/>
        </w:rPr>
        <w:fldChar w:fldCharType="end"/>
      </w:r>
    </w:p>
    <w:p>
      <w:pPr>
        <w:pStyle w:val="13"/>
        <w:tabs>
          <w:tab w:val="right" w:leader="dot" w:pos="9660"/>
          <w:tab w:val="clear" w:pos="0"/>
        </w:tabs>
        <w:spacing w:before="120" w:after="120"/>
      </w:pPr>
      <w:r>
        <w:fldChar w:fldCharType="begin"/>
      </w:r>
      <w:r>
        <w:instrText xml:space="preserve"> HYPERLINK \l "_Toc2613" </w:instrText>
      </w:r>
      <w:r>
        <w:fldChar w:fldCharType="separate"/>
      </w:r>
      <w:r>
        <w:t>Solution</w:t>
      </w:r>
      <w:r>
        <w:rPr>
          <w:rFonts w:hint="eastAsia"/>
        </w:rPr>
        <w:t>#</w:t>
      </w:r>
      <w:r>
        <w:t xml:space="preserve"> SP-</w:t>
      </w:r>
      <w:r>
        <w:rPr>
          <w:rFonts w:hint="eastAsia"/>
        </w:rPr>
        <w:t>2: Using a new group common DCI to indicate N sub-configurations.</w:t>
      </w:r>
      <w:r>
        <w:rPr>
          <w:rFonts w:hint="eastAsia"/>
        </w:rPr>
        <w:fldChar w:fldCharType="end"/>
      </w:r>
    </w:p>
    <w:p>
      <w:pPr>
        <w:pStyle w:val="13"/>
        <w:tabs>
          <w:tab w:val="right" w:leader="dot" w:pos="9660"/>
          <w:tab w:val="clear" w:pos="0"/>
        </w:tabs>
        <w:spacing w:before="120" w:after="120"/>
      </w:pPr>
      <w:r>
        <w:fldChar w:fldCharType="begin"/>
      </w:r>
      <w:r>
        <w:instrText xml:space="preserve"> HYPERLINK \l "_Toc5316" </w:instrText>
      </w:r>
      <w:r>
        <w:fldChar w:fldCharType="separate"/>
      </w:r>
      <w:r>
        <w:rPr>
          <w:rFonts w:eastAsia="宋体"/>
          <w:iCs w:val="0"/>
          <w:szCs w:val="21"/>
        </w:rPr>
        <w:t xml:space="preserve">Proposal 17: </w:t>
      </w:r>
      <w:r>
        <w:rPr>
          <w:rFonts w:hint="eastAsia"/>
        </w:rPr>
        <w:t>For periodic CSI report, support using a new group common DCI to indicate N</w:t>
      </w:r>
      <w:r>
        <w:t>≤</w:t>
      </w:r>
      <w:r>
        <w:rPr>
          <w:rFonts w:hint="eastAsia"/>
        </w:rPr>
        <w:t>L sub-configurations.</w:t>
      </w:r>
      <w:r>
        <w:rPr>
          <w:rFonts w:hint="eastAsia"/>
        </w:rPr>
        <w:fldChar w:fldCharType="end"/>
      </w:r>
    </w:p>
    <w:p>
      <w:pPr>
        <w:pStyle w:val="13"/>
        <w:tabs>
          <w:tab w:val="right" w:leader="dot" w:pos="9660"/>
          <w:tab w:val="clear" w:pos="0"/>
        </w:tabs>
        <w:spacing w:before="120" w:after="120"/>
      </w:pPr>
      <w:r>
        <w:fldChar w:fldCharType="begin"/>
      </w:r>
      <w:r>
        <w:instrText xml:space="preserve"> HYPERLINK \l "_Toc18705" </w:instrText>
      </w:r>
      <w:r>
        <w:fldChar w:fldCharType="separate"/>
      </w:r>
      <w:r>
        <w:rPr>
          <w:rFonts w:eastAsia="宋体"/>
          <w:iCs w:val="0"/>
          <w:szCs w:val="21"/>
        </w:rPr>
        <w:t xml:space="preserve">Proposal 18: </w:t>
      </w:r>
      <w:r>
        <w:rPr>
          <w:rFonts w:hint="eastAsia"/>
        </w:rPr>
        <w:t xml:space="preserve">Same </w:t>
      </w:r>
      <w:r>
        <w:t>framework</w:t>
      </w:r>
      <w:r>
        <w:rPr>
          <w:rFonts w:hint="eastAsia"/>
        </w:rPr>
        <w:t xml:space="preserve"> can be used for the enhancement on power domain and the enhancement on spatial domain.</w:t>
      </w:r>
      <w:r>
        <w:rPr>
          <w:rFonts w:hint="eastAsia"/>
        </w:rPr>
        <w:fldChar w:fldCharType="end"/>
      </w:r>
    </w:p>
    <w:p>
      <w:pPr>
        <w:pStyle w:val="13"/>
        <w:tabs>
          <w:tab w:val="right" w:leader="dot" w:pos="9660"/>
          <w:tab w:val="clear" w:pos="0"/>
        </w:tabs>
        <w:spacing w:before="120" w:after="120"/>
      </w:pPr>
      <w:r>
        <w:fldChar w:fldCharType="begin"/>
      </w:r>
      <w:r>
        <w:instrText xml:space="preserve"> HYPERLINK \l "_Toc4204" </w:instrText>
      </w:r>
      <w:r>
        <w:fldChar w:fldCharType="separate"/>
      </w:r>
      <w:r>
        <w:rPr>
          <w:rFonts w:eastAsia="宋体"/>
          <w:iCs w:val="0"/>
          <w:szCs w:val="21"/>
        </w:rPr>
        <w:t xml:space="preserve">Proposal 19: </w:t>
      </w:r>
      <w:r>
        <w:t>Multi</w:t>
      </w:r>
      <w:r>
        <w:rPr>
          <w:rFonts w:hint="eastAsia"/>
        </w:rPr>
        <w:t xml:space="preserve">ple </w:t>
      </w:r>
      <w:r>
        <w:t>CSI</w:t>
      </w:r>
      <w:r>
        <w:rPr>
          <w:rFonts w:hint="eastAsia"/>
        </w:rPr>
        <w:t>s</w:t>
      </w:r>
      <w:r>
        <w:t xml:space="preserve"> </w:t>
      </w:r>
      <w:r>
        <w:rPr>
          <w:rFonts w:hint="eastAsia"/>
        </w:rPr>
        <w:t>corresponding to multiple power offsets in one reporting</w:t>
      </w:r>
      <w:r>
        <w:t xml:space="preserve"> should be supported.</w:t>
      </w:r>
      <w:r>
        <w:fldChar w:fldCharType="end"/>
      </w:r>
    </w:p>
    <w:p>
      <w:pPr>
        <w:pStyle w:val="13"/>
        <w:tabs>
          <w:tab w:val="right" w:leader="dot" w:pos="9660"/>
          <w:tab w:val="clear" w:pos="0"/>
        </w:tabs>
        <w:spacing w:before="120" w:after="120"/>
      </w:pPr>
      <w:r>
        <w:fldChar w:fldCharType="begin"/>
      </w:r>
      <w:r>
        <w:instrText xml:space="preserve"> HYPERLINK \l "_Toc11526" </w:instrText>
      </w:r>
      <w:r>
        <w:fldChar w:fldCharType="separate"/>
      </w:r>
      <w:r>
        <w:fldChar w:fldCharType="end"/>
      </w:r>
      <w:r>
        <w:fldChar w:fldCharType="begin"/>
      </w:r>
      <w:r>
        <w:instrText xml:space="preserve"> HYPERLINK \l "_Toc24802" </w:instrText>
      </w:r>
      <w:r>
        <w:fldChar w:fldCharType="separate"/>
      </w:r>
      <w:r>
        <w:rPr>
          <w:rFonts w:eastAsia="宋体"/>
          <w:iCs w:val="0"/>
          <w:szCs w:val="21"/>
        </w:rPr>
        <w:t xml:space="preserve">Proposal 20: </w:t>
      </w:r>
      <w:r>
        <w:t>For multi-CSI in one reporting corresponding to multiple power offset</w:t>
      </w:r>
      <w:r>
        <w:rPr>
          <w:rFonts w:hint="eastAsia"/>
        </w:rPr>
        <w:t xml:space="preserve"> values</w:t>
      </w:r>
      <w:r>
        <w:t>, reporting common CRI, differential RI, common PMI, and differential CQI can be considered</w:t>
      </w:r>
      <w:r>
        <w:rPr>
          <w:rFonts w:hint="eastAsia"/>
        </w:rPr>
        <w:t>.</w:t>
      </w:r>
      <w:r>
        <w:rPr>
          <w:rFonts w:hint="eastAsia"/>
        </w:rPr>
        <w:fldChar w:fldCharType="end"/>
      </w:r>
    </w:p>
    <w:p>
      <w:pPr>
        <w:pStyle w:val="13"/>
        <w:tabs>
          <w:tab w:val="right" w:leader="dot" w:pos="9660"/>
          <w:tab w:val="clear" w:pos="0"/>
        </w:tabs>
        <w:spacing w:before="120" w:after="120"/>
      </w:pPr>
      <w:r>
        <w:fldChar w:fldCharType="begin"/>
      </w:r>
      <w:r>
        <w:instrText xml:space="preserve"> HYPERLINK \l "_Toc17217" </w:instrText>
      </w:r>
      <w:r>
        <w:fldChar w:fldCharType="separate"/>
      </w:r>
      <w:r>
        <w:rPr>
          <w:rFonts w:eastAsia="宋体"/>
          <w:iCs w:val="0"/>
          <w:szCs w:val="21"/>
        </w:rPr>
        <w:t xml:space="preserve">Proposal 21: </w:t>
      </w:r>
      <w:r>
        <w:rPr>
          <w:rFonts w:hint="eastAsia"/>
        </w:rPr>
        <w:t>D</w:t>
      </w:r>
      <w:r>
        <w:t>ynamic indication</w:t>
      </w:r>
      <w:r>
        <w:rPr>
          <w:rFonts w:hint="eastAsia"/>
        </w:rPr>
        <w:t xml:space="preserve"> can be considered for power domain enhancement.</w:t>
      </w:r>
      <w:r>
        <w:rPr>
          <w:rFonts w:hint="eastAsia"/>
        </w:rPr>
        <w:fldChar w:fldCharType="end"/>
      </w:r>
    </w:p>
    <w:p>
      <w:pPr>
        <w:pStyle w:val="13"/>
        <w:tabs>
          <w:tab w:val="right" w:leader="dot" w:pos="9660"/>
          <w:tab w:val="clear" w:pos="0"/>
        </w:tabs>
        <w:spacing w:before="120" w:after="120"/>
      </w:pPr>
      <w:r>
        <w:fldChar w:fldCharType="begin"/>
      </w:r>
      <w:r>
        <w:instrText xml:space="preserve"> HYPERLINK \l "_Toc4479" </w:instrText>
      </w:r>
      <w:r>
        <w:fldChar w:fldCharType="separate"/>
      </w:r>
      <w:r>
        <w:rPr>
          <w:rFonts w:eastAsia="宋体"/>
          <w:iCs w:val="0"/>
          <w:szCs w:val="21"/>
        </w:rPr>
        <w:t xml:space="preserve">Proposal 22: </w:t>
      </w:r>
      <w:r>
        <w:rPr>
          <w:rFonts w:hint="eastAsia" w:eastAsia="宋体"/>
        </w:rPr>
        <w:t xml:space="preserve">The enhancement on beam management </w:t>
      </w:r>
      <w:r>
        <w:rPr>
          <w:rFonts w:eastAsia="宋体"/>
        </w:rPr>
        <w:t>should</w:t>
      </w:r>
      <w:r>
        <w:rPr>
          <w:rFonts w:hint="eastAsia" w:eastAsia="宋体"/>
        </w:rPr>
        <w:t xml:space="preserve"> be deprioritized.</w:t>
      </w:r>
      <w:r>
        <w:rPr>
          <w:rFonts w:hint="eastAsia" w:eastAsia="宋体"/>
        </w:rPr>
        <w:fldChar w:fldCharType="end"/>
      </w:r>
    </w:p>
    <w:p>
      <w:pPr>
        <w:spacing w:before="120" w:after="120"/>
      </w:pPr>
      <w:r>
        <w:rPr>
          <w:szCs w:val="21"/>
        </w:rPr>
        <w:fldChar w:fldCharType="end"/>
      </w:r>
    </w:p>
    <w:p>
      <w:pPr>
        <w:pStyle w:val="2"/>
        <w:numPr>
          <w:ilvl w:val="0"/>
          <w:numId w:val="10"/>
        </w:numPr>
        <w:spacing w:before="120" w:after="120"/>
        <w:rPr>
          <w:rFonts w:ascii="Times New Roman" w:hAnsi="Times New Roman" w:eastAsia="宋体"/>
          <w:b/>
          <w:bCs/>
          <w:sz w:val="28"/>
          <w:szCs w:val="28"/>
        </w:rPr>
      </w:pPr>
      <w:r>
        <w:rPr>
          <w:rFonts w:ascii="Times New Roman" w:hAnsi="Times New Roman" w:eastAsia="宋体"/>
          <w:b/>
          <w:bCs/>
          <w:sz w:val="28"/>
          <w:szCs w:val="28"/>
        </w:rPr>
        <w:t>References</w:t>
      </w:r>
    </w:p>
    <w:p>
      <w:pPr>
        <w:pStyle w:val="36"/>
        <w:spacing w:before="120" w:after="120"/>
        <w:ind w:left="363" w:hanging="363"/>
        <w:rPr>
          <w:szCs w:val="21"/>
        </w:rPr>
      </w:pPr>
      <w:bookmarkStart w:id="247" w:name="_Ref17466"/>
      <w:r>
        <w:rPr>
          <w:rFonts w:hint="eastAsia"/>
          <w:szCs w:val="21"/>
        </w:rPr>
        <w:t>Chair</w:t>
      </w:r>
      <w:r>
        <w:rPr>
          <w:szCs w:val="21"/>
        </w:rPr>
        <w:t>’</w:t>
      </w:r>
      <w:r>
        <w:rPr>
          <w:rFonts w:hint="eastAsia"/>
          <w:szCs w:val="21"/>
        </w:rPr>
        <w:t>s notes RAN1#112bis-e, 2023-04</w:t>
      </w:r>
      <w:r>
        <w:rPr>
          <w:szCs w:val="21"/>
        </w:rPr>
        <w:t>.</w:t>
      </w:r>
    </w:p>
    <w:bookmarkEnd w:id="247"/>
    <w:p>
      <w:pPr>
        <w:pStyle w:val="36"/>
        <w:numPr>
          <w:ilvl w:val="0"/>
          <w:numId w:val="0"/>
        </w:numPr>
        <w:spacing w:before="120" w:after="120"/>
        <w:rPr>
          <w:sz w:val="20"/>
          <w:szCs w:val="20"/>
        </w:rPr>
      </w:pPr>
    </w:p>
    <w:p>
      <w:pPr>
        <w:pStyle w:val="2"/>
        <w:numPr>
          <w:ilvl w:val="0"/>
          <w:numId w:val="10"/>
        </w:numPr>
        <w:spacing w:before="120" w:after="120"/>
        <w:rPr>
          <w:rFonts w:ascii="Times New Roman" w:hAnsi="Times New Roman"/>
          <w:b/>
          <w:bCs/>
          <w:sz w:val="28"/>
          <w:szCs w:val="28"/>
        </w:rPr>
      </w:pPr>
      <w:r>
        <w:rPr>
          <w:rFonts w:ascii="Times New Roman" w:hAnsi="Times New Roman" w:eastAsia="宋体"/>
          <w:b/>
          <w:bCs/>
          <w:sz w:val="28"/>
          <w:szCs w:val="28"/>
        </w:rPr>
        <w:t>Appendix</w:t>
      </w:r>
    </w:p>
    <w:p>
      <w:pPr>
        <w:spacing w:before="120" w:after="120"/>
        <w:outlineLvl w:val="1"/>
      </w:pPr>
      <w:r>
        <w:rPr>
          <w:rFonts w:hint="eastAsia"/>
        </w:rPr>
        <w:t>A.1 Simulation assumption</w:t>
      </w:r>
      <w:r>
        <w:t>s</w:t>
      </w:r>
    </w:p>
    <w:p>
      <w:pPr>
        <w:spacing w:before="120" w:after="120"/>
        <w:jc w:val="center"/>
      </w:pPr>
      <w:r>
        <w:rPr>
          <w:rFonts w:eastAsiaTheme="minorEastAsia"/>
        </w:rPr>
        <w:t xml:space="preserve">Table A1 BS antenna configuration for </w:t>
      </w:r>
      <w:r>
        <w:t>TxRU adaptation</w:t>
      </w:r>
    </w:p>
    <w:tbl>
      <w:tblPr>
        <w:tblStyle w:val="19"/>
        <w:tblW w:w="498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17"/>
        <w:gridCol w:w="72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8" w:type="pct"/>
            <w:shd w:val="clear" w:color="auto" w:fill="auto"/>
            <w:vAlign w:val="center"/>
          </w:tcPr>
          <w:p>
            <w:pPr>
              <w:spacing w:before="120" w:after="120"/>
              <w:jc w:val="center"/>
              <w:rPr>
                <w:b/>
                <w:bCs/>
              </w:rPr>
            </w:pPr>
            <w:r>
              <w:rPr>
                <w:b/>
                <w:bCs/>
              </w:rPr>
              <w:t>Simulation c</w:t>
            </w:r>
            <w:r>
              <w:rPr>
                <w:rFonts w:hint="eastAsia"/>
                <w:b/>
                <w:bCs/>
              </w:rPr>
              <w:t xml:space="preserve">ase </w:t>
            </w:r>
          </w:p>
        </w:tc>
        <w:tc>
          <w:tcPr>
            <w:tcW w:w="3671" w:type="pct"/>
            <w:shd w:val="clear" w:color="auto" w:fill="auto"/>
            <w:vAlign w:val="center"/>
          </w:tcPr>
          <w:p>
            <w:pPr>
              <w:spacing w:before="120" w:after="120"/>
              <w:jc w:val="center"/>
              <w:rPr>
                <w:b/>
                <w:bCs/>
              </w:rPr>
            </w:pPr>
            <w:r>
              <w:rPr>
                <w:rFonts w:hint="eastAsia"/>
                <w:b/>
                <w:bCs/>
              </w:rPr>
              <w:t xml:space="preserve">Description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8" w:type="pct"/>
            <w:vAlign w:val="center"/>
          </w:tcPr>
          <w:p>
            <w:pPr>
              <w:spacing w:before="120" w:after="120"/>
              <w:jc w:val="center"/>
            </w:pPr>
            <w:r>
              <w:rPr>
                <w:rFonts w:hint="eastAsia"/>
              </w:rPr>
              <w:t>64TxRU</w:t>
            </w:r>
          </w:p>
        </w:tc>
        <w:tc>
          <w:tcPr>
            <w:tcW w:w="3671" w:type="pct"/>
            <w:vAlign w:val="center"/>
          </w:tcPr>
          <w:p>
            <w:pPr>
              <w:spacing w:before="120" w:after="120"/>
              <w:jc w:val="center"/>
            </w:pPr>
            <w:r>
              <w:rPr>
                <w:rFonts w:hint="eastAsia"/>
              </w:rPr>
              <w:t>(M, N, P, Mg, Ng) = (8, 8, 2, 1, 1)</w:t>
            </w:r>
            <w:r>
              <w:t xml:space="preserve">; </w:t>
            </w:r>
            <w:r>
              <w:rPr>
                <w:rFonts w:hint="eastAsia"/>
              </w:rPr>
              <w:t>Max</w:t>
            </w:r>
            <w:r>
              <w:t xml:space="preserve"> transmission power=55dBm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8" w:type="pct"/>
            <w:vAlign w:val="center"/>
          </w:tcPr>
          <w:p>
            <w:pPr>
              <w:spacing w:before="120" w:after="120"/>
              <w:jc w:val="center"/>
            </w:pPr>
            <w:r>
              <w:rPr>
                <w:rFonts w:hint="eastAsia"/>
              </w:rPr>
              <w:t>32TxRU</w:t>
            </w:r>
          </w:p>
        </w:tc>
        <w:tc>
          <w:tcPr>
            <w:tcW w:w="3671" w:type="pct"/>
            <w:vAlign w:val="center"/>
          </w:tcPr>
          <w:p>
            <w:pPr>
              <w:spacing w:before="120" w:after="120"/>
              <w:jc w:val="center"/>
            </w:pPr>
            <w:r>
              <w:rPr>
                <w:rFonts w:hint="eastAsia"/>
              </w:rPr>
              <w:t>(M, N, P, Mg, Ng) = (8, 4, 2, 1, 1)</w:t>
            </w:r>
            <w:r>
              <w:t xml:space="preserve">; </w:t>
            </w:r>
            <w:r>
              <w:rPr>
                <w:rFonts w:hint="eastAsia"/>
              </w:rPr>
              <w:t>Max</w:t>
            </w:r>
            <w:r>
              <w:t xml:space="preserve"> transmission power=52dBm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8" w:type="pct"/>
            <w:vAlign w:val="center"/>
          </w:tcPr>
          <w:p>
            <w:pPr>
              <w:spacing w:before="120" w:after="120"/>
              <w:jc w:val="center"/>
            </w:pPr>
            <w:r>
              <w:rPr>
                <w:rFonts w:hint="eastAsia"/>
              </w:rPr>
              <w:t>16TxRU</w:t>
            </w:r>
          </w:p>
        </w:tc>
        <w:tc>
          <w:tcPr>
            <w:tcW w:w="3671" w:type="pct"/>
            <w:vAlign w:val="center"/>
          </w:tcPr>
          <w:p>
            <w:pPr>
              <w:spacing w:before="120" w:after="120"/>
              <w:jc w:val="center"/>
            </w:pPr>
            <w:r>
              <w:rPr>
                <w:rFonts w:hint="eastAsia"/>
              </w:rPr>
              <w:t>(M, N, P, Mg, Ng) = (4, 4, 2, 1, 1)</w:t>
            </w:r>
            <w:r>
              <w:t xml:space="preserve">; </w:t>
            </w:r>
            <w:r>
              <w:rPr>
                <w:rFonts w:hint="eastAsia"/>
              </w:rPr>
              <w:t>Max</w:t>
            </w:r>
            <w:r>
              <w:t xml:space="preserve"> transmission power=</w:t>
            </w:r>
            <w:r>
              <w:rPr>
                <w:rFonts w:hint="eastAsia"/>
              </w:rPr>
              <w:t>49</w:t>
            </w:r>
            <w:r>
              <w:t>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8" w:type="pct"/>
            <w:vAlign w:val="center"/>
          </w:tcPr>
          <w:p>
            <w:pPr>
              <w:spacing w:before="120" w:after="120"/>
              <w:jc w:val="center"/>
            </w:pPr>
            <w:r>
              <w:rPr>
                <w:rFonts w:hint="eastAsia"/>
              </w:rPr>
              <w:t>8TxRU</w:t>
            </w:r>
          </w:p>
        </w:tc>
        <w:tc>
          <w:tcPr>
            <w:tcW w:w="3671" w:type="pct"/>
            <w:vAlign w:val="center"/>
          </w:tcPr>
          <w:p>
            <w:pPr>
              <w:spacing w:before="120" w:after="120"/>
              <w:jc w:val="center"/>
            </w:pPr>
            <w:r>
              <w:rPr>
                <w:rFonts w:hint="eastAsia"/>
              </w:rPr>
              <w:t>(M, N, P, Mg, Ng) = (4, 2, 2, 1, 1)</w:t>
            </w:r>
            <w:r>
              <w:t xml:space="preserve">; </w:t>
            </w:r>
            <w:r>
              <w:rPr>
                <w:rFonts w:hint="eastAsia"/>
              </w:rPr>
              <w:t>Max</w:t>
            </w:r>
            <w:r>
              <w:t xml:space="preserve"> transmission power=</w:t>
            </w:r>
            <w:r>
              <w:rPr>
                <w:rFonts w:hint="eastAsia"/>
              </w:rPr>
              <w:t>46</w:t>
            </w:r>
            <w:r>
              <w:t>dBm</w:t>
            </w:r>
          </w:p>
        </w:tc>
      </w:tr>
    </w:tbl>
    <w:p>
      <w:pPr>
        <w:pStyle w:val="6"/>
        <w:spacing w:before="120" w:after="120"/>
        <w:jc w:val="center"/>
        <w:rPr>
          <w:rFonts w:ascii="Times New Roman" w:hAnsi="Times New Roman"/>
          <w:sz w:val="21"/>
          <w:szCs w:val="21"/>
        </w:rPr>
      </w:pPr>
    </w:p>
    <w:p>
      <w:pPr>
        <w:pStyle w:val="6"/>
        <w:spacing w:before="120" w:after="120"/>
        <w:jc w:val="center"/>
        <w:rPr>
          <w:rFonts w:ascii="Times New Roman" w:hAnsi="Times New Roman"/>
          <w:sz w:val="21"/>
          <w:szCs w:val="21"/>
        </w:rPr>
      </w:pPr>
      <w:r>
        <w:rPr>
          <w:rFonts w:ascii="Times New Roman" w:hAnsi="Times New Roman"/>
          <w:sz w:val="21"/>
          <w:szCs w:val="21"/>
        </w:rPr>
        <w:t>Table A</w:t>
      </w:r>
      <w:r>
        <w:rPr>
          <w:rFonts w:hint="eastAsia" w:ascii="Times New Roman" w:hAnsi="Times New Roman"/>
          <w:sz w:val="21"/>
          <w:szCs w:val="21"/>
        </w:rPr>
        <w:t>2</w:t>
      </w:r>
      <w:r>
        <w:rPr>
          <w:rFonts w:ascii="Times New Roman" w:hAnsi="Times New Roman"/>
          <w:sz w:val="21"/>
          <w:szCs w:val="21"/>
        </w:rPr>
        <w:t xml:space="preserve"> Evaluation assumptions</w:t>
      </w:r>
      <w:r>
        <w:rPr>
          <w:rFonts w:hint="eastAsia" w:ascii="Times New Roman" w:hAnsi="Times New Roman"/>
          <w:sz w:val="21"/>
          <w:szCs w:val="21"/>
        </w:rPr>
        <w:t xml:space="preserve"> </w:t>
      </w:r>
      <w:r>
        <w:rPr>
          <w:rFonts w:ascii="Times New Roman" w:hAnsi="Times New Roman"/>
          <w:sz w:val="21"/>
          <w:szCs w:val="21"/>
        </w:rPr>
        <w:t>for UMa scenario</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08"/>
        <w:gridCol w:w="75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8" w:type="dxa"/>
            <w:vAlign w:val="center"/>
          </w:tcPr>
          <w:p>
            <w:pPr>
              <w:spacing w:before="120" w:after="120"/>
              <w:jc w:val="center"/>
              <w:rPr>
                <w:b/>
                <w:bCs/>
                <w:szCs w:val="21"/>
              </w:rPr>
            </w:pPr>
            <w:r>
              <w:rPr>
                <w:b/>
                <w:bCs/>
                <w:szCs w:val="21"/>
                <w:lang w:eastAsia="ko-KR"/>
              </w:rPr>
              <w:t>Parameters</w:t>
            </w:r>
          </w:p>
        </w:tc>
        <w:tc>
          <w:tcPr>
            <w:tcW w:w="7566" w:type="dxa"/>
            <w:vAlign w:val="center"/>
          </w:tcPr>
          <w:p>
            <w:pPr>
              <w:spacing w:before="120" w:after="120"/>
              <w:jc w:val="center"/>
              <w:rPr>
                <w:b/>
                <w:bCs/>
                <w:szCs w:val="21"/>
              </w:rPr>
            </w:pPr>
            <w:r>
              <w:rPr>
                <w:b/>
                <w:bCs/>
                <w:szCs w:val="21"/>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8" w:type="dxa"/>
            <w:vAlign w:val="center"/>
          </w:tcPr>
          <w:p>
            <w:pPr>
              <w:spacing w:before="120" w:after="120"/>
              <w:jc w:val="center"/>
              <w:rPr>
                <w:szCs w:val="21"/>
                <w:lang w:eastAsia="ko-KR"/>
              </w:rPr>
            </w:pPr>
            <w:r>
              <w:rPr>
                <w:szCs w:val="21"/>
              </w:rPr>
              <w:t>Duplex Mode / Simulation bandwidth</w:t>
            </w:r>
          </w:p>
        </w:tc>
        <w:tc>
          <w:tcPr>
            <w:tcW w:w="7566" w:type="dxa"/>
            <w:vAlign w:val="center"/>
          </w:tcPr>
          <w:p>
            <w:pPr>
              <w:spacing w:before="120" w:after="120"/>
              <w:jc w:val="center"/>
              <w:rPr>
                <w:szCs w:val="21"/>
              </w:rPr>
            </w:pPr>
            <w:r>
              <w:rPr>
                <w:szCs w:val="21"/>
              </w:rPr>
              <w:t>TDD/100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8" w:type="dxa"/>
            <w:vAlign w:val="center"/>
          </w:tcPr>
          <w:p>
            <w:pPr>
              <w:spacing w:before="120" w:after="120"/>
              <w:jc w:val="center"/>
              <w:rPr>
                <w:szCs w:val="21"/>
                <w:lang w:eastAsia="ko-KR"/>
              </w:rPr>
            </w:pPr>
            <w:r>
              <w:rPr>
                <w:szCs w:val="21"/>
              </w:rPr>
              <w:t>Scenario</w:t>
            </w:r>
          </w:p>
        </w:tc>
        <w:tc>
          <w:tcPr>
            <w:tcW w:w="7566" w:type="dxa"/>
            <w:vAlign w:val="center"/>
          </w:tcPr>
          <w:p>
            <w:pPr>
              <w:pStyle w:val="53"/>
              <w:spacing w:before="120" w:after="120"/>
              <w:rPr>
                <w:rFonts w:ascii="Times New Roman" w:hAnsi="Times New Roman"/>
                <w:sz w:val="21"/>
                <w:szCs w:val="21"/>
              </w:rPr>
            </w:pPr>
            <w:r>
              <w:rPr>
                <w:rFonts w:ascii="Times New Roman" w:hAnsi="Times New Roman"/>
                <w:sz w:val="21"/>
                <w:szCs w:val="21"/>
              </w:rPr>
              <w:t>Urban Macro;</w:t>
            </w:r>
          </w:p>
          <w:p>
            <w:pPr>
              <w:spacing w:before="120" w:after="120"/>
              <w:jc w:val="center"/>
              <w:rPr>
                <w:szCs w:val="21"/>
                <w:lang w:eastAsia="ko-KR"/>
              </w:rPr>
            </w:pPr>
            <w:r>
              <w:rPr>
                <w:szCs w:val="21"/>
                <w:lang w:eastAsia="ko-KR"/>
              </w:rPr>
              <w:t xml:space="preserve">Hexagonal grid, </w:t>
            </w:r>
            <w:r>
              <w:rPr>
                <w:szCs w:val="21"/>
              </w:rPr>
              <w:t>7</w:t>
            </w:r>
            <w:r>
              <w:rPr>
                <w:szCs w:val="21"/>
                <w:lang w:eastAsia="ko-KR"/>
              </w:rPr>
              <w:t xml:space="preserve"> macro sites, 3 sectors per site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8" w:type="dxa"/>
            <w:vAlign w:val="center"/>
          </w:tcPr>
          <w:p>
            <w:pPr>
              <w:spacing w:before="120" w:after="120"/>
              <w:jc w:val="center"/>
              <w:rPr>
                <w:szCs w:val="21"/>
                <w:lang w:eastAsia="ko-KR"/>
              </w:rPr>
            </w:pPr>
            <w:r>
              <w:rPr>
                <w:szCs w:val="21"/>
              </w:rPr>
              <w:t>Inter-BS distance</w:t>
            </w:r>
          </w:p>
        </w:tc>
        <w:tc>
          <w:tcPr>
            <w:tcW w:w="7566" w:type="dxa"/>
            <w:vAlign w:val="center"/>
          </w:tcPr>
          <w:p>
            <w:pPr>
              <w:spacing w:before="120" w:after="120"/>
              <w:jc w:val="center"/>
              <w:rPr>
                <w:szCs w:val="21"/>
              </w:rPr>
            </w:pPr>
            <w:r>
              <w:rPr>
                <w:szCs w:val="21"/>
              </w:rPr>
              <w:t>500m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8" w:type="dxa"/>
            <w:vAlign w:val="center"/>
          </w:tcPr>
          <w:p>
            <w:pPr>
              <w:spacing w:before="120" w:after="120"/>
              <w:jc w:val="center"/>
              <w:rPr>
                <w:szCs w:val="21"/>
                <w:lang w:eastAsia="ko-KR"/>
              </w:rPr>
            </w:pPr>
            <w:r>
              <w:rPr>
                <w:szCs w:val="21"/>
                <w:lang w:val="fr-FR" w:eastAsia="ko-KR"/>
              </w:rPr>
              <w:t>Min. BS - U</w:t>
            </w:r>
            <w:r>
              <w:rPr>
                <w:szCs w:val="21"/>
              </w:rPr>
              <w:t>E</w:t>
            </w:r>
            <w:r>
              <w:rPr>
                <w:szCs w:val="21"/>
                <w:lang w:val="fr-FR" w:eastAsia="ko-KR"/>
              </w:rPr>
              <w:t xml:space="preserve"> distance</w:t>
            </w:r>
          </w:p>
        </w:tc>
        <w:tc>
          <w:tcPr>
            <w:tcW w:w="7566" w:type="dxa"/>
            <w:vAlign w:val="center"/>
          </w:tcPr>
          <w:p>
            <w:pPr>
              <w:spacing w:before="120" w:after="120"/>
              <w:jc w:val="center"/>
              <w:rPr>
                <w:szCs w:val="21"/>
                <w:lang w:eastAsia="ko-KR"/>
              </w:rPr>
            </w:pPr>
            <w:r>
              <w:rPr>
                <w:szCs w:val="21"/>
                <w:lang w:eastAsia="ko-KR"/>
              </w:rPr>
              <w:t>35m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8" w:type="dxa"/>
            <w:vAlign w:val="center"/>
          </w:tcPr>
          <w:p>
            <w:pPr>
              <w:spacing w:before="120" w:after="120"/>
              <w:jc w:val="center"/>
              <w:rPr>
                <w:szCs w:val="21"/>
                <w:lang w:eastAsia="ko-KR"/>
              </w:rPr>
            </w:pPr>
            <w:r>
              <w:rPr>
                <w:szCs w:val="21"/>
              </w:rPr>
              <w:t>Carrier frequency</w:t>
            </w:r>
          </w:p>
        </w:tc>
        <w:tc>
          <w:tcPr>
            <w:tcW w:w="7566" w:type="dxa"/>
            <w:vAlign w:val="center"/>
          </w:tcPr>
          <w:p>
            <w:pPr>
              <w:spacing w:before="120" w:after="120"/>
              <w:jc w:val="center"/>
              <w:rPr>
                <w:szCs w:val="21"/>
              </w:rPr>
            </w:pPr>
            <w:r>
              <w:rPr>
                <w:szCs w:val="21"/>
              </w:rPr>
              <w:t>4GHz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8" w:type="dxa"/>
            <w:vAlign w:val="center"/>
          </w:tcPr>
          <w:p>
            <w:pPr>
              <w:spacing w:before="120" w:after="120"/>
              <w:jc w:val="center"/>
              <w:rPr>
                <w:szCs w:val="21"/>
                <w:lang w:eastAsia="ko-KR"/>
              </w:rPr>
            </w:pPr>
            <w:r>
              <w:rPr>
                <w:szCs w:val="21"/>
              </w:rPr>
              <w:t>SCS</w:t>
            </w:r>
          </w:p>
        </w:tc>
        <w:tc>
          <w:tcPr>
            <w:tcW w:w="7566" w:type="dxa"/>
            <w:vAlign w:val="center"/>
          </w:tcPr>
          <w:p>
            <w:pPr>
              <w:spacing w:before="120" w:after="120"/>
              <w:jc w:val="center"/>
              <w:rPr>
                <w:szCs w:val="21"/>
              </w:rPr>
            </w:pPr>
            <w:r>
              <w:rPr>
                <w:szCs w:val="21"/>
              </w:rPr>
              <w:t>30KHz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8" w:type="dxa"/>
            <w:vAlign w:val="center"/>
          </w:tcPr>
          <w:p>
            <w:pPr>
              <w:spacing w:before="120" w:after="120"/>
              <w:jc w:val="center"/>
              <w:rPr>
                <w:szCs w:val="21"/>
                <w:lang w:eastAsia="ko-KR"/>
              </w:rPr>
            </w:pPr>
            <w:r>
              <w:rPr>
                <w:szCs w:val="21"/>
              </w:rPr>
              <w:t>TDD pattern</w:t>
            </w:r>
          </w:p>
        </w:tc>
        <w:tc>
          <w:tcPr>
            <w:tcW w:w="7566" w:type="dxa"/>
            <w:vAlign w:val="center"/>
          </w:tcPr>
          <w:p>
            <w:pPr>
              <w:spacing w:before="120" w:after="120"/>
              <w:jc w:val="center"/>
              <w:rPr>
                <w:szCs w:val="21"/>
              </w:rPr>
            </w:pPr>
            <w:r>
              <w:rPr>
                <w:szCs w:val="21"/>
              </w:rPr>
              <w:t>DDDSU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8" w:type="dxa"/>
            <w:vAlign w:val="center"/>
          </w:tcPr>
          <w:p>
            <w:pPr>
              <w:spacing w:before="120" w:after="120"/>
              <w:jc w:val="center"/>
              <w:rPr>
                <w:szCs w:val="21"/>
                <w:lang w:eastAsia="ko-KR"/>
              </w:rPr>
            </w:pPr>
            <w:r>
              <w:rPr>
                <w:szCs w:val="21"/>
              </w:rPr>
              <w:t>BS Antenna Configuration</w:t>
            </w:r>
          </w:p>
        </w:tc>
        <w:tc>
          <w:tcPr>
            <w:tcW w:w="7566" w:type="dxa"/>
            <w:vAlign w:val="center"/>
          </w:tcPr>
          <w:p>
            <w:pPr>
              <w:spacing w:before="120" w:after="120"/>
              <w:jc w:val="center"/>
              <w:textAlignment w:val="center"/>
              <w:rPr>
                <w:szCs w:val="21"/>
              </w:rPr>
            </w:pPr>
            <w:r>
              <w:rPr>
                <w:szCs w:val="21"/>
              </w:rPr>
              <w:t>64Tx antenna ports, and (dH, dV) = (0.5λ, 0.</w:t>
            </w:r>
            <w:r>
              <w:rPr>
                <w:rFonts w:hint="eastAsia"/>
                <w:szCs w:val="21"/>
              </w:rPr>
              <w:t>8</w:t>
            </w:r>
            <w:r>
              <w:rPr>
                <w:szCs w:val="21"/>
              </w:rPr>
              <w:t>λ);</w:t>
            </w:r>
          </w:p>
          <w:p>
            <w:pPr>
              <w:spacing w:before="120" w:after="120"/>
              <w:jc w:val="center"/>
              <w:textAlignment w:val="center"/>
              <w:rPr>
                <w:szCs w:val="21"/>
              </w:rPr>
            </w:pPr>
            <w:r>
              <w:rPr>
                <w:szCs w:val="21"/>
              </w:rPr>
              <w:t>64Tx: (M, N, P, Mg, Ng; Mp, Np) = (8,8,2,1,1; 4,8)</w:t>
            </w:r>
          </w:p>
          <w:p>
            <w:pPr>
              <w:spacing w:before="120" w:after="120"/>
              <w:jc w:val="center"/>
              <w:rPr>
                <w:szCs w:val="21"/>
              </w:rPr>
            </w:pPr>
            <w:r>
              <w:rPr>
                <w:szCs w:val="21"/>
              </w:rPr>
              <w:t>The antenna tilt is 12 degrees.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8" w:type="dxa"/>
            <w:vAlign w:val="center"/>
          </w:tcPr>
          <w:p>
            <w:pPr>
              <w:spacing w:before="120" w:after="120"/>
              <w:jc w:val="center"/>
              <w:rPr>
                <w:szCs w:val="21"/>
                <w:lang w:eastAsia="ko-KR"/>
              </w:rPr>
            </w:pPr>
            <w:r>
              <w:rPr>
                <w:szCs w:val="21"/>
              </w:rPr>
              <w:t>UE Antenna Configuration</w:t>
            </w:r>
          </w:p>
        </w:tc>
        <w:tc>
          <w:tcPr>
            <w:tcW w:w="7566" w:type="dxa"/>
            <w:vAlign w:val="center"/>
          </w:tcPr>
          <w:p>
            <w:pPr>
              <w:spacing w:before="120" w:after="120"/>
              <w:jc w:val="center"/>
              <w:textAlignment w:val="center"/>
              <w:rPr>
                <w:szCs w:val="21"/>
              </w:rPr>
            </w:pPr>
            <w:r>
              <w:rPr>
                <w:szCs w:val="21"/>
              </w:rPr>
              <w:t>4 Rx antenna ports, and dH = 0.5λ</w:t>
            </w:r>
          </w:p>
          <w:p>
            <w:pPr>
              <w:spacing w:before="120" w:after="120"/>
              <w:jc w:val="center"/>
              <w:rPr>
                <w:szCs w:val="21"/>
              </w:rPr>
            </w:pPr>
            <w:r>
              <w:rPr>
                <w:szCs w:val="21"/>
              </w:rPr>
              <w:t>4 Rx: (M, N, P, Mg, Ng; Mp, Np) = (1,2,2,1,1;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8" w:type="dxa"/>
            <w:vAlign w:val="center"/>
          </w:tcPr>
          <w:p>
            <w:pPr>
              <w:spacing w:before="120" w:after="120"/>
              <w:jc w:val="center"/>
              <w:rPr>
                <w:szCs w:val="21"/>
                <w:lang w:eastAsia="ko-KR"/>
              </w:rPr>
            </w:pPr>
            <w:r>
              <w:rPr>
                <w:szCs w:val="21"/>
              </w:rPr>
              <w:t>Total DL power level</w:t>
            </w:r>
          </w:p>
        </w:tc>
        <w:tc>
          <w:tcPr>
            <w:tcW w:w="7566" w:type="dxa"/>
            <w:vAlign w:val="center"/>
          </w:tcPr>
          <w:p>
            <w:pPr>
              <w:spacing w:before="120" w:after="120"/>
              <w:jc w:val="center"/>
              <w:rPr>
                <w:szCs w:val="21"/>
              </w:rPr>
            </w:pPr>
            <w:r>
              <w:rPr>
                <w:szCs w:val="21"/>
              </w:rPr>
              <w:t>55dBm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8" w:type="dxa"/>
            <w:vAlign w:val="center"/>
          </w:tcPr>
          <w:p>
            <w:pPr>
              <w:spacing w:before="120" w:after="120"/>
              <w:jc w:val="center"/>
              <w:rPr>
                <w:szCs w:val="21"/>
              </w:rPr>
            </w:pPr>
            <w:r>
              <w:rPr>
                <w:szCs w:val="21"/>
              </w:rPr>
              <w:t>UE transmit power</w:t>
            </w:r>
          </w:p>
        </w:tc>
        <w:tc>
          <w:tcPr>
            <w:tcW w:w="7566" w:type="dxa"/>
            <w:vAlign w:val="center"/>
          </w:tcPr>
          <w:p>
            <w:pPr>
              <w:spacing w:before="120" w:after="120"/>
              <w:jc w:val="center"/>
              <w:rPr>
                <w:szCs w:val="21"/>
              </w:rPr>
            </w:pPr>
            <w:r>
              <w:rPr>
                <w:szCs w:val="21"/>
              </w:rPr>
              <w:t>23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8" w:type="dxa"/>
            <w:vAlign w:val="center"/>
          </w:tcPr>
          <w:p>
            <w:pPr>
              <w:spacing w:before="120" w:after="120"/>
              <w:jc w:val="center"/>
              <w:rPr>
                <w:szCs w:val="21"/>
                <w:lang w:eastAsia="ko-KR"/>
              </w:rPr>
            </w:pPr>
            <w:r>
              <w:rPr>
                <w:szCs w:val="21"/>
              </w:rPr>
              <w:t>Antenna Height</w:t>
            </w:r>
          </w:p>
        </w:tc>
        <w:tc>
          <w:tcPr>
            <w:tcW w:w="7566" w:type="dxa"/>
            <w:vAlign w:val="center"/>
          </w:tcPr>
          <w:p>
            <w:pPr>
              <w:spacing w:before="120" w:after="120"/>
              <w:jc w:val="center"/>
              <w:rPr>
                <w:szCs w:val="21"/>
              </w:rPr>
            </w:pPr>
            <w:r>
              <w:rPr>
                <w:szCs w:val="21"/>
              </w:rPr>
              <w:t>25 m for BS and 1.5 m for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8" w:type="dxa"/>
            <w:vAlign w:val="center"/>
          </w:tcPr>
          <w:p>
            <w:pPr>
              <w:spacing w:before="120" w:after="120"/>
              <w:jc w:val="center"/>
              <w:rPr>
                <w:szCs w:val="21"/>
                <w:lang w:eastAsia="ko-KR"/>
              </w:rPr>
            </w:pPr>
            <w:r>
              <w:rPr>
                <w:szCs w:val="21"/>
              </w:rPr>
              <w:t>Antenna Element Gain</w:t>
            </w:r>
          </w:p>
        </w:tc>
        <w:tc>
          <w:tcPr>
            <w:tcW w:w="7566" w:type="dxa"/>
            <w:vAlign w:val="center"/>
          </w:tcPr>
          <w:p>
            <w:pPr>
              <w:spacing w:before="120" w:after="120"/>
              <w:jc w:val="center"/>
              <w:rPr>
                <w:szCs w:val="21"/>
              </w:rPr>
            </w:pPr>
            <w:r>
              <w:rPr>
                <w:szCs w:val="21"/>
              </w:rPr>
              <w:t>8dBi for BS and 0 dBi for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8" w:type="dxa"/>
            <w:vAlign w:val="center"/>
          </w:tcPr>
          <w:p>
            <w:pPr>
              <w:pStyle w:val="53"/>
              <w:spacing w:before="120" w:after="120"/>
              <w:rPr>
                <w:rFonts w:ascii="Times New Roman" w:hAnsi="Times New Roman"/>
                <w:sz w:val="21"/>
                <w:szCs w:val="21"/>
              </w:rPr>
            </w:pPr>
            <w:r>
              <w:rPr>
                <w:rFonts w:ascii="Times New Roman" w:hAnsi="Times New Roman"/>
                <w:sz w:val="21"/>
                <w:szCs w:val="21"/>
              </w:rPr>
              <w:t>Receiver Noise Figure</w:t>
            </w:r>
          </w:p>
        </w:tc>
        <w:tc>
          <w:tcPr>
            <w:tcW w:w="7566" w:type="dxa"/>
            <w:vAlign w:val="center"/>
          </w:tcPr>
          <w:p>
            <w:pPr>
              <w:pStyle w:val="53"/>
              <w:spacing w:before="120" w:after="120"/>
              <w:rPr>
                <w:rFonts w:ascii="Times New Roman" w:hAnsi="Times New Roman"/>
                <w:sz w:val="21"/>
                <w:szCs w:val="21"/>
              </w:rPr>
            </w:pPr>
            <w:r>
              <w:rPr>
                <w:rFonts w:ascii="Times New Roman" w:hAnsi="Times New Roman"/>
                <w:sz w:val="21"/>
                <w:szCs w:val="21"/>
              </w:rPr>
              <w:t>5 dB for BS and 9 dB for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8" w:type="dxa"/>
            <w:vAlign w:val="center"/>
          </w:tcPr>
          <w:p>
            <w:pPr>
              <w:pStyle w:val="53"/>
              <w:spacing w:before="120" w:after="120"/>
              <w:rPr>
                <w:rFonts w:ascii="Times New Roman" w:hAnsi="Times New Roman"/>
                <w:sz w:val="21"/>
                <w:szCs w:val="21"/>
              </w:rPr>
            </w:pPr>
            <w:r>
              <w:rPr>
                <w:rFonts w:ascii="Times New Roman" w:hAnsi="Times New Roman"/>
                <w:sz w:val="21"/>
                <w:szCs w:val="21"/>
              </w:rPr>
              <w:t>UE distribution</w:t>
            </w:r>
          </w:p>
        </w:tc>
        <w:tc>
          <w:tcPr>
            <w:tcW w:w="7566" w:type="dxa"/>
            <w:vAlign w:val="center"/>
          </w:tcPr>
          <w:p>
            <w:pPr>
              <w:spacing w:before="120" w:after="120"/>
              <w:jc w:val="center"/>
              <w:textAlignment w:val="center"/>
              <w:rPr>
                <w:szCs w:val="21"/>
              </w:rPr>
            </w:pPr>
            <w:r>
              <w:rPr>
                <w:szCs w:val="21"/>
              </w:rPr>
              <w:t>Uniform in cell;</w:t>
            </w:r>
          </w:p>
          <w:p>
            <w:pPr>
              <w:spacing w:before="120" w:after="120"/>
              <w:jc w:val="center"/>
              <w:textAlignment w:val="center"/>
              <w:rPr>
                <w:szCs w:val="21"/>
              </w:rPr>
            </w:pPr>
            <w:r>
              <w:rPr>
                <w:szCs w:val="21"/>
              </w:rPr>
              <w:t>80% of users are indoor, 20% of users are outdoor;</w:t>
            </w:r>
          </w:p>
          <w:p>
            <w:pPr>
              <w:pStyle w:val="53"/>
              <w:spacing w:before="120" w:after="120"/>
              <w:rPr>
                <w:rFonts w:ascii="Times New Roman" w:hAnsi="Times New Roman"/>
                <w:sz w:val="21"/>
                <w:szCs w:val="21"/>
              </w:rPr>
            </w:pPr>
            <w:r>
              <w:rPr>
                <w:rFonts w:ascii="Times New Roman" w:hAnsi="Times New Roman"/>
                <w:sz w:val="21"/>
                <w:szCs w:val="21"/>
              </w:rPr>
              <w:t>Use 3km/h for modeling fading channel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8" w:type="dxa"/>
            <w:vAlign w:val="center"/>
          </w:tcPr>
          <w:p>
            <w:pPr>
              <w:pStyle w:val="53"/>
              <w:spacing w:before="120" w:after="120"/>
              <w:rPr>
                <w:rFonts w:ascii="Times New Roman" w:hAnsi="Times New Roman"/>
                <w:sz w:val="21"/>
                <w:szCs w:val="21"/>
              </w:rPr>
            </w:pPr>
            <w:r>
              <w:rPr>
                <w:rFonts w:ascii="Times New Roman" w:hAnsi="Times New Roman"/>
                <w:sz w:val="21"/>
                <w:szCs w:val="21"/>
              </w:rPr>
              <w:t>Number of UEs per cell</w:t>
            </w:r>
          </w:p>
        </w:tc>
        <w:tc>
          <w:tcPr>
            <w:tcW w:w="7566" w:type="dxa"/>
            <w:vAlign w:val="center"/>
          </w:tcPr>
          <w:p>
            <w:pPr>
              <w:pStyle w:val="53"/>
              <w:spacing w:before="120" w:after="120"/>
              <w:rPr>
                <w:rFonts w:ascii="Times New Roman" w:hAnsi="Times New Roman"/>
                <w:sz w:val="21"/>
                <w:szCs w:val="21"/>
              </w:rPr>
            </w:pPr>
            <w:r>
              <w:rPr>
                <w:rFonts w:ascii="Times New Roman" w:hAnsi="Times New Roman"/>
                <w:sz w:val="21"/>
                <w:szCs w:val="21"/>
              </w:rPr>
              <w:t>Depends on RU requirement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8" w:type="dxa"/>
            <w:vAlign w:val="center"/>
          </w:tcPr>
          <w:p>
            <w:pPr>
              <w:pStyle w:val="53"/>
              <w:spacing w:before="120" w:after="120"/>
              <w:rPr>
                <w:rFonts w:ascii="Times New Roman" w:hAnsi="Times New Roman"/>
                <w:sz w:val="21"/>
                <w:szCs w:val="21"/>
              </w:rPr>
            </w:pPr>
            <w:r>
              <w:rPr>
                <w:rFonts w:ascii="Times New Roman" w:hAnsi="Times New Roman"/>
                <w:sz w:val="21"/>
                <w:szCs w:val="21"/>
              </w:rPr>
              <w:t>Scheduling Algorithm</w:t>
            </w:r>
          </w:p>
        </w:tc>
        <w:tc>
          <w:tcPr>
            <w:tcW w:w="7566" w:type="dxa"/>
            <w:vAlign w:val="center"/>
          </w:tcPr>
          <w:p>
            <w:pPr>
              <w:pStyle w:val="53"/>
              <w:spacing w:before="120" w:after="120"/>
              <w:rPr>
                <w:rFonts w:ascii="Times New Roman" w:hAnsi="Times New Roman"/>
                <w:sz w:val="21"/>
                <w:szCs w:val="21"/>
              </w:rPr>
            </w:pPr>
            <w:r>
              <w:rPr>
                <w:rFonts w:ascii="Times New Roman" w:hAnsi="Times New Roman"/>
                <w:sz w:val="21"/>
                <w:szCs w:val="21"/>
              </w:rPr>
              <w:t>SU-MIMO + PF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8" w:type="dxa"/>
            <w:vAlign w:val="center"/>
          </w:tcPr>
          <w:p>
            <w:pPr>
              <w:pStyle w:val="53"/>
              <w:spacing w:before="120" w:after="120"/>
              <w:rPr>
                <w:rFonts w:ascii="Times New Roman" w:hAnsi="Times New Roman"/>
                <w:sz w:val="21"/>
                <w:szCs w:val="21"/>
              </w:rPr>
            </w:pPr>
            <w:r>
              <w:rPr>
                <w:rFonts w:ascii="Times New Roman" w:hAnsi="Times New Roman"/>
                <w:sz w:val="21"/>
                <w:szCs w:val="21"/>
              </w:rPr>
              <w:t>HARQ/repetition</w:t>
            </w:r>
          </w:p>
        </w:tc>
        <w:tc>
          <w:tcPr>
            <w:tcW w:w="7566" w:type="dxa"/>
            <w:vAlign w:val="center"/>
          </w:tcPr>
          <w:p>
            <w:pPr>
              <w:pStyle w:val="53"/>
              <w:spacing w:before="120" w:after="120"/>
              <w:rPr>
                <w:rFonts w:ascii="Times New Roman" w:hAnsi="Times New Roman"/>
                <w:sz w:val="21"/>
                <w:szCs w:val="21"/>
              </w:rPr>
            </w:pPr>
            <w:r>
              <w:rPr>
                <w:rFonts w:ascii="Times New Roman" w:hAnsi="Times New Roman"/>
                <w:sz w:val="21"/>
                <w:szCs w:val="21"/>
              </w:rPr>
              <w:t>HARQ retransmission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8" w:type="dxa"/>
            <w:vAlign w:val="center"/>
          </w:tcPr>
          <w:p>
            <w:pPr>
              <w:pStyle w:val="53"/>
              <w:spacing w:before="120" w:after="120"/>
              <w:rPr>
                <w:rFonts w:ascii="Times New Roman" w:hAnsi="Times New Roman"/>
                <w:sz w:val="21"/>
                <w:szCs w:val="21"/>
              </w:rPr>
            </w:pPr>
            <w:r>
              <w:rPr>
                <w:rFonts w:ascii="Times New Roman" w:hAnsi="Times New Roman"/>
                <w:sz w:val="21"/>
                <w:szCs w:val="21"/>
              </w:rPr>
              <w:t>Channel estimation</w:t>
            </w:r>
          </w:p>
        </w:tc>
        <w:tc>
          <w:tcPr>
            <w:tcW w:w="7566" w:type="dxa"/>
            <w:vAlign w:val="center"/>
          </w:tcPr>
          <w:p>
            <w:pPr>
              <w:pStyle w:val="53"/>
              <w:spacing w:before="120" w:after="120"/>
              <w:rPr>
                <w:rFonts w:ascii="Times New Roman" w:hAnsi="Times New Roman"/>
                <w:sz w:val="21"/>
                <w:szCs w:val="21"/>
              </w:rPr>
            </w:pPr>
            <w:r>
              <w:rPr>
                <w:rFonts w:ascii="Times New Roman" w:hAnsi="Times New Roman"/>
                <w:sz w:val="21"/>
                <w:szCs w:val="21"/>
              </w:rPr>
              <w:t>Realist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8" w:type="dxa"/>
            <w:vAlign w:val="center"/>
          </w:tcPr>
          <w:p>
            <w:pPr>
              <w:pStyle w:val="53"/>
              <w:spacing w:before="120" w:after="120"/>
              <w:rPr>
                <w:rFonts w:ascii="Times New Roman" w:hAnsi="Times New Roman"/>
                <w:sz w:val="21"/>
                <w:szCs w:val="21"/>
              </w:rPr>
            </w:pPr>
            <w:r>
              <w:rPr>
                <w:rFonts w:ascii="Times New Roman" w:hAnsi="Times New Roman"/>
                <w:sz w:val="21"/>
                <w:szCs w:val="21"/>
              </w:rPr>
              <w:t>PDCCH overhead</w:t>
            </w:r>
          </w:p>
        </w:tc>
        <w:tc>
          <w:tcPr>
            <w:tcW w:w="7566" w:type="dxa"/>
            <w:vAlign w:val="center"/>
          </w:tcPr>
          <w:p>
            <w:pPr>
              <w:pStyle w:val="53"/>
              <w:spacing w:before="120" w:after="120"/>
              <w:rPr>
                <w:rFonts w:ascii="Times New Roman" w:hAnsi="Times New Roman"/>
                <w:sz w:val="21"/>
                <w:szCs w:val="21"/>
              </w:rPr>
            </w:pPr>
            <w:r>
              <w:rPr>
                <w:rFonts w:ascii="Times New Roman" w:hAnsi="Times New Roman"/>
                <w:sz w:val="21"/>
                <w:szCs w:val="21"/>
              </w:rPr>
              <w:t>1/7 (2symbols per 14symbol)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8" w:type="dxa"/>
            <w:vAlign w:val="center"/>
          </w:tcPr>
          <w:p>
            <w:pPr>
              <w:pStyle w:val="53"/>
              <w:spacing w:before="120" w:after="120"/>
              <w:rPr>
                <w:rFonts w:ascii="Times New Roman" w:hAnsi="Times New Roman"/>
                <w:sz w:val="21"/>
                <w:szCs w:val="21"/>
              </w:rPr>
            </w:pPr>
            <w:r>
              <w:rPr>
                <w:rFonts w:ascii="Times New Roman" w:hAnsi="Times New Roman"/>
                <w:sz w:val="21"/>
                <w:szCs w:val="21"/>
              </w:rPr>
              <w:t>DMRS overhead</w:t>
            </w:r>
          </w:p>
        </w:tc>
        <w:tc>
          <w:tcPr>
            <w:tcW w:w="7566" w:type="dxa"/>
            <w:vAlign w:val="center"/>
          </w:tcPr>
          <w:p>
            <w:pPr>
              <w:pStyle w:val="53"/>
              <w:spacing w:before="120" w:after="120"/>
              <w:rPr>
                <w:rFonts w:ascii="Times New Roman" w:hAnsi="Times New Roman"/>
                <w:sz w:val="21"/>
                <w:szCs w:val="21"/>
              </w:rPr>
            </w:pPr>
            <w:r>
              <w:rPr>
                <w:rFonts w:ascii="Times New Roman" w:hAnsi="Times New Roman"/>
                <w:sz w:val="21"/>
                <w:szCs w:val="21"/>
              </w:rPr>
              <w:t>1 symbol per 14symbol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8" w:type="dxa"/>
            <w:vAlign w:val="center"/>
          </w:tcPr>
          <w:p>
            <w:pPr>
              <w:pStyle w:val="53"/>
              <w:spacing w:before="120" w:after="120"/>
              <w:rPr>
                <w:rFonts w:ascii="Times New Roman" w:hAnsi="Times New Roman"/>
                <w:sz w:val="21"/>
                <w:szCs w:val="21"/>
              </w:rPr>
            </w:pPr>
            <w:r>
              <w:rPr>
                <w:rFonts w:ascii="Times New Roman" w:hAnsi="Times New Roman"/>
                <w:sz w:val="21"/>
                <w:szCs w:val="21"/>
              </w:rPr>
              <w:t>BS receiver</w:t>
            </w:r>
          </w:p>
        </w:tc>
        <w:tc>
          <w:tcPr>
            <w:tcW w:w="7566" w:type="dxa"/>
            <w:vAlign w:val="center"/>
          </w:tcPr>
          <w:p>
            <w:pPr>
              <w:pStyle w:val="53"/>
              <w:spacing w:before="120" w:after="120"/>
              <w:rPr>
                <w:rFonts w:ascii="Times New Roman" w:hAnsi="Times New Roman"/>
                <w:sz w:val="21"/>
                <w:szCs w:val="21"/>
              </w:rPr>
            </w:pPr>
            <w:r>
              <w:rPr>
                <w:rFonts w:ascii="Times New Roman" w:hAnsi="Times New Roman"/>
                <w:sz w:val="21"/>
                <w:szCs w:val="21"/>
              </w:rPr>
              <w:t>MMSE-IRC</w:t>
            </w:r>
          </w:p>
        </w:tc>
      </w:tr>
    </w:tbl>
    <w:p>
      <w:pPr>
        <w:pStyle w:val="36"/>
        <w:numPr>
          <w:ilvl w:val="0"/>
          <w:numId w:val="0"/>
        </w:numPr>
        <w:spacing w:before="120" w:after="120"/>
        <w:outlineLvl w:val="1"/>
      </w:pPr>
    </w:p>
    <w:sectPr>
      <w:headerReference r:id="rId5" w:type="first"/>
      <w:footerReference r:id="rId8" w:type="first"/>
      <w:headerReference r:id="rId3" w:type="default"/>
      <w:footerReference r:id="rId6" w:type="default"/>
      <w:headerReference r:id="rId4" w:type="even"/>
      <w:footerReference r:id="rId7" w:type="even"/>
      <w:pgSz w:w="12240" w:h="15840"/>
      <w:pgMar w:top="1440" w:right="1200" w:bottom="1440" w:left="138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EFF" w:usb1="C000785B" w:usb2="00000009" w:usb3="00000000" w:csb0="400001FF" w:csb1="FFFF0000"/>
  </w:font>
  <w:font w:name="MS Mincho">
    <w:altName w:val="Yu Gothic UI"/>
    <w:panose1 w:val="02020609040205080304"/>
    <w:charset w:val="80"/>
    <w:family w:val="modern"/>
    <w:pitch w:val="default"/>
    <w:sig w:usb0="00000000" w:usb1="00000000" w:usb2="08000012" w:usb3="00000000" w:csb0="0002009F" w:csb1="00000000"/>
  </w:font>
  <w:font w:name="Consolas">
    <w:panose1 w:val="020B0609020204030204"/>
    <w:charset w:val="00"/>
    <w:family w:val="modern"/>
    <w:pitch w:val="default"/>
    <w:sig w:usb0="E00006FF" w:usb1="0000FCFF" w:usb2="00000001" w:usb3="00000000" w:csb0="6000019F" w:csb1="DFD70000"/>
  </w:font>
  <w:font w:name="Times New Roman Bold">
    <w:altName w:val="Times New Roman"/>
    <w:panose1 w:val="02020803070505020304"/>
    <w:charset w:val="00"/>
    <w:family w:val="roma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Cambria Math">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PMingLiU">
    <w:altName w:val="Microsoft JhengHei UI"/>
    <w:panose1 w:val="02010601000101010101"/>
    <w:charset w:val="88"/>
    <w:family w:val="roman"/>
    <w:pitch w:val="default"/>
    <w:sig w:usb0="00000000" w:usb1="00000000" w:usb2="00000016" w:usb3="00000000" w:csb0="00100001" w:csb1="00000000"/>
  </w:font>
  <w:font w:name="Calibri">
    <w:panose1 w:val="020F0502020204030204"/>
    <w:charset w:val="00"/>
    <w:family w:val="swiss"/>
    <w:pitch w:val="default"/>
    <w:sig w:usb0="E0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spacing w:before="120" w:after="12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spacing w:before="120" w:after="120"/>
                          </w:pPr>
                          <w:r>
                            <w:rPr>
                              <w:rFonts w:hint="eastAsia"/>
                            </w:rPr>
                            <w:fldChar w:fldCharType="begin"/>
                          </w:r>
                          <w:r>
                            <w:rPr>
                              <w:rFonts w:hint="eastAsia"/>
                            </w:rPr>
                            <w:instrText xml:space="preserve"> PAGE  \* MERGEFORMAT </w:instrText>
                          </w:r>
                          <w:r>
                            <w:rPr>
                              <w:rFonts w:hint="eastAsia"/>
                            </w:rPr>
                            <w:fldChar w:fldCharType="separate"/>
                          </w:r>
                          <w:r>
                            <w:t>30</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zSVju0AAAAAUBAAAPAAAAAAAAAAEAIAAAACIAAABk&#10;cnMvZG93bnJldi54bWxQSwECFAAUAAAACACHTuJA+k7mmg4CAAAHBAAADgAAAAAAAAABACAAAAAf&#10;AQAAZHJzL2Uyb0RvYy54bWxQSwUGAAAAAAYABgBZAQAAnwUAAAAA&#10;">
              <v:fill on="f" focussize="0,0"/>
              <v:stroke on="f" weight="0.5pt"/>
              <v:imagedata o:title=""/>
              <o:lock v:ext="edit" aspectratio="f"/>
              <v:textbox inset="0mm,0mm,0mm,0mm" style="mso-fit-shape-to-text:t;">
                <w:txbxContent>
                  <w:p>
                    <w:pPr>
                      <w:pStyle w:val="11"/>
                      <w:spacing w:before="120" w:after="120"/>
                    </w:pPr>
                    <w:r>
                      <w:rPr>
                        <w:rFonts w:hint="eastAsia"/>
                      </w:rPr>
                      <w:fldChar w:fldCharType="begin"/>
                    </w:r>
                    <w:r>
                      <w:rPr>
                        <w:rFonts w:hint="eastAsia"/>
                      </w:rPr>
                      <w:instrText xml:space="preserve"> PAGE  \* MERGEFORMAT </w:instrText>
                    </w:r>
                    <w:r>
                      <w:rPr>
                        <w:rFonts w:hint="eastAsia"/>
                      </w:rPr>
                      <w:fldChar w:fldCharType="separate"/>
                    </w:r>
                    <w:r>
                      <w:t>30</w:t>
                    </w:r>
                    <w:r>
                      <w:rPr>
                        <w:rFonts w:hint="eastAsia"/>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spacing w:before="120" w:after="12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21DAC41"/>
    <w:multiLevelType w:val="singleLevel"/>
    <w:tmpl w:val="821DAC41"/>
    <w:lvl w:ilvl="0" w:tentative="0">
      <w:start w:val="1"/>
      <w:numFmt w:val="bullet"/>
      <w:lvlText w:val=""/>
      <w:lvlJc w:val="left"/>
      <w:pPr>
        <w:ind w:left="420" w:hanging="420"/>
      </w:pPr>
      <w:rPr>
        <w:rFonts w:hint="default" w:ascii="Wingdings" w:hAnsi="Wingdings"/>
      </w:rPr>
    </w:lvl>
  </w:abstractNum>
  <w:abstractNum w:abstractNumId="1">
    <w:nsid w:val="9AF8C1B8"/>
    <w:multiLevelType w:val="singleLevel"/>
    <w:tmpl w:val="9AF8C1B8"/>
    <w:lvl w:ilvl="0" w:tentative="0">
      <w:start w:val="1"/>
      <w:numFmt w:val="bullet"/>
      <w:lvlText w:val=""/>
      <w:lvlJc w:val="left"/>
      <w:pPr>
        <w:ind w:left="420" w:hanging="420"/>
      </w:pPr>
      <w:rPr>
        <w:rFonts w:hint="default" w:ascii="Wingdings" w:hAnsi="Wingdings"/>
        <w:sz w:val="10"/>
      </w:rPr>
    </w:lvl>
  </w:abstractNum>
  <w:abstractNum w:abstractNumId="2">
    <w:nsid w:val="B15F0BA4"/>
    <w:multiLevelType w:val="singleLevel"/>
    <w:tmpl w:val="B15F0BA4"/>
    <w:lvl w:ilvl="0" w:tentative="0">
      <w:start w:val="1"/>
      <w:numFmt w:val="bullet"/>
      <w:pStyle w:val="34"/>
      <w:lvlText w:val="-"/>
      <w:lvlJc w:val="left"/>
      <w:pPr>
        <w:ind w:left="420" w:hanging="420"/>
      </w:pPr>
      <w:rPr>
        <w:rFonts w:hint="default" w:ascii="Arial" w:hAnsi="Arial" w:cs="Arial"/>
      </w:rPr>
    </w:lvl>
  </w:abstractNum>
  <w:abstractNum w:abstractNumId="3">
    <w:nsid w:val="BD0CA652"/>
    <w:multiLevelType w:val="multilevel"/>
    <w:tmpl w:val="BD0CA652"/>
    <w:lvl w:ilvl="0" w:tentative="0">
      <w:start w:val="1"/>
      <w:numFmt w:val="decimal"/>
      <w:pStyle w:val="31"/>
      <w:lvlText w:val="Proposal %1:"/>
      <w:lvlJc w:val="left"/>
      <w:pPr>
        <w:tabs>
          <w:tab w:val="left" w:pos="1417"/>
        </w:tabs>
        <w:ind w:left="1417" w:firstLine="0"/>
      </w:pPr>
      <w:rPr>
        <w:rFonts w:hint="default" w:ascii="Times New Roman" w:hAnsi="Times New Roman" w:eastAsia="宋体" w:cs="Times New Roman"/>
        <w:b/>
        <w:bCs/>
        <w:i w:val="0"/>
        <w:iCs w:val="0"/>
        <w:sz w:val="21"/>
        <w:szCs w:val="21"/>
      </w:rPr>
    </w:lvl>
    <w:lvl w:ilvl="1" w:tentative="0">
      <w:start w:val="1"/>
      <w:numFmt w:val="bullet"/>
      <w:lvlText w:val="•"/>
      <w:lvlJc w:val="left"/>
      <w:pPr>
        <w:tabs>
          <w:tab w:val="left" w:pos="840"/>
        </w:tabs>
        <w:ind w:left="840" w:hanging="420"/>
      </w:pPr>
      <w:rPr>
        <w:rFonts w:hint="default" w:ascii="Arial" w:hAnsi="Arial" w:eastAsia="宋体" w:cs="Arial"/>
        <w:b/>
        <w:bCs/>
        <w:i/>
        <w:iCs/>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4">
    <w:nsid w:val="FFD53213"/>
    <w:multiLevelType w:val="singleLevel"/>
    <w:tmpl w:val="FFD53213"/>
    <w:lvl w:ilvl="0" w:tentative="0">
      <w:start w:val="1"/>
      <w:numFmt w:val="bullet"/>
      <w:lvlText w:val=""/>
      <w:lvlJc w:val="left"/>
      <w:pPr>
        <w:ind w:left="420" w:hanging="420"/>
      </w:pPr>
      <w:rPr>
        <w:rFonts w:hint="default" w:ascii="Wingdings" w:hAnsi="Wingdings"/>
      </w:rPr>
    </w:lvl>
  </w:abstractNum>
  <w:abstractNum w:abstractNumId="5">
    <w:nsid w:val="04568029"/>
    <w:multiLevelType w:val="singleLevel"/>
    <w:tmpl w:val="04568029"/>
    <w:lvl w:ilvl="0" w:tentative="0">
      <w:start w:val="1"/>
      <w:numFmt w:val="bullet"/>
      <w:lvlText w:val=""/>
      <w:lvlJc w:val="left"/>
      <w:pPr>
        <w:ind w:left="420" w:hanging="420"/>
      </w:pPr>
      <w:rPr>
        <w:rFonts w:hint="default" w:ascii="Wingdings" w:hAnsi="Wingdings"/>
      </w:rPr>
    </w:lvl>
  </w:abstractNum>
  <w:abstractNum w:abstractNumId="6">
    <w:nsid w:val="07C96096"/>
    <w:multiLevelType w:val="multilevel"/>
    <w:tmpl w:val="07C9609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0A3772BC"/>
    <w:multiLevelType w:val="multilevel"/>
    <w:tmpl w:val="0A3772BC"/>
    <w:lvl w:ilvl="0" w:tentative="0">
      <w:start w:val="1"/>
      <w:numFmt w:val="decimal"/>
      <w:pStyle w:val="30"/>
      <w:suff w:val="nothing"/>
      <w:lvlText w:val="Observation %1: "/>
      <w:lvlJc w:val="left"/>
      <w:pPr>
        <w:tabs>
          <w:tab w:val="left" w:pos="420"/>
        </w:tabs>
        <w:ind w:left="0" w:firstLine="0"/>
      </w:pPr>
      <w:rPr>
        <w:rFonts w:hint="default" w:ascii="Times New Roman" w:hAnsi="Times New Roman" w:eastAsia="宋体" w:cs="Times New Roman"/>
        <w:b/>
        <w:bCs/>
        <w:i w:val="0"/>
        <w:iCs w:val="0"/>
        <w:sz w:val="21"/>
        <w:szCs w:val="21"/>
      </w:rPr>
    </w:lvl>
    <w:lvl w:ilvl="1" w:tentative="0">
      <w:start w:val="1"/>
      <w:numFmt w:val="lowerLetter"/>
      <w:lvlText w:val="%2)"/>
      <w:lvlJc w:val="left"/>
      <w:pPr>
        <w:tabs>
          <w:tab w:val="left" w:pos="840"/>
        </w:tabs>
        <w:ind w:left="840" w:hanging="420"/>
      </w:pPr>
      <w:rPr>
        <w:rFonts w:hint="default"/>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8">
    <w:nsid w:val="0B3348B2"/>
    <w:multiLevelType w:val="multilevel"/>
    <w:tmpl w:val="0B3348B2"/>
    <w:lvl w:ilvl="0" w:tentative="0">
      <w:start w:val="1"/>
      <w:numFmt w:val="bullet"/>
      <w:lvlText w:val=""/>
      <w:lvlJc w:val="left"/>
      <w:pPr>
        <w:ind w:left="760" w:hanging="360"/>
      </w:pPr>
      <w:rPr>
        <w:rFonts w:hint="default" w:ascii="Symbol" w:hAnsi="Symbol"/>
      </w:rPr>
    </w:lvl>
    <w:lvl w:ilvl="1" w:tentative="0">
      <w:start w:val="1"/>
      <w:numFmt w:val="bullet"/>
      <w:lvlText w:val=""/>
      <w:lvlJc w:val="left"/>
      <w:pPr>
        <w:ind w:left="1200" w:hanging="400"/>
      </w:pPr>
      <w:rPr>
        <w:rFonts w:hint="default" w:ascii="Wingdings" w:hAnsi="Wingdings"/>
      </w:rPr>
    </w:lvl>
    <w:lvl w:ilvl="2" w:tentative="0">
      <w:start w:val="1"/>
      <w:numFmt w:val="bullet"/>
      <w:lvlText w:val=""/>
      <w:lvlJc w:val="left"/>
      <w:pPr>
        <w:ind w:left="1600" w:hanging="400"/>
      </w:pPr>
      <w:rPr>
        <w:rFonts w:hint="default" w:ascii="Wingdings" w:hAnsi="Wingdings"/>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9">
    <w:nsid w:val="0BDD5F2B"/>
    <w:multiLevelType w:val="multilevel"/>
    <w:tmpl w:val="0BDD5F2B"/>
    <w:lvl w:ilvl="0" w:tentative="0">
      <w:start w:val="1"/>
      <w:numFmt w:val="decimal"/>
      <w:pStyle w:val="2"/>
      <w:suff w:val="nothing"/>
      <w:lvlText w:val="%1  "/>
      <w:lvlJc w:val="left"/>
      <w:pPr>
        <w:ind w:left="4962" w:firstLine="0"/>
      </w:pPr>
      <w:rPr>
        <w:rFonts w:hint="default" w:ascii="Times New Roman" w:hAnsi="Times New Roman" w:eastAsia="黑体" w:cs="Times New Roman"/>
        <w:b/>
        <w:bCs/>
        <w:i w:val="0"/>
        <w:sz w:val="28"/>
        <w:szCs w:val="28"/>
        <w:lang w:val="en-US"/>
      </w:rPr>
    </w:lvl>
    <w:lvl w:ilvl="1" w:tentative="0">
      <w:start w:val="1"/>
      <w:numFmt w:val="decimal"/>
      <w:pStyle w:val="3"/>
      <w:suff w:val="nothing"/>
      <w:lvlText w:val="%1.%2  "/>
      <w:lvlJc w:val="left"/>
      <w:pPr>
        <w:ind w:left="993" w:firstLine="0"/>
      </w:pPr>
      <w:rPr>
        <w:rFonts w:hint="default" w:ascii="Times New Roman" w:hAnsi="Times New Roman" w:cs="Times New Roman"/>
        <w:b/>
        <w:bCs/>
        <w:i w:val="0"/>
        <w:iCs w:val="0"/>
        <w:caps w:val="0"/>
        <w:smallCaps w:val="0"/>
        <w:strike w:val="0"/>
        <w:dstrike w:val="0"/>
        <w:vanish w:val="0"/>
        <w:color w:val="000000"/>
        <w:spacing w:val="0"/>
        <w:kern w:val="0"/>
        <w:position w:val="0"/>
        <w:sz w:val="20"/>
        <w:szCs w:val="2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10">
    <w:nsid w:val="17C22999"/>
    <w:multiLevelType w:val="multilevel"/>
    <w:tmpl w:val="17C2299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1AF5518C"/>
    <w:multiLevelType w:val="multilevel"/>
    <w:tmpl w:val="1AF5518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1B361BDF"/>
    <w:multiLevelType w:val="multilevel"/>
    <w:tmpl w:val="1B361BDF"/>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3">
    <w:nsid w:val="2FD83607"/>
    <w:multiLevelType w:val="multilevel"/>
    <w:tmpl w:val="2FD8360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33E767F3"/>
    <w:multiLevelType w:val="multilevel"/>
    <w:tmpl w:val="33E767F3"/>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5">
    <w:nsid w:val="3A877D64"/>
    <w:multiLevelType w:val="singleLevel"/>
    <w:tmpl w:val="3A877D64"/>
    <w:lvl w:ilvl="0" w:tentative="0">
      <w:start w:val="1"/>
      <w:numFmt w:val="decimal"/>
      <w:pStyle w:val="36"/>
      <w:lvlText w:val="[%1]"/>
      <w:lvlJc w:val="left"/>
      <w:pPr>
        <w:tabs>
          <w:tab w:val="left" w:pos="360"/>
        </w:tabs>
        <w:ind w:left="360" w:hanging="360"/>
      </w:pPr>
    </w:lvl>
  </w:abstractNum>
  <w:abstractNum w:abstractNumId="16">
    <w:nsid w:val="425C749A"/>
    <w:multiLevelType w:val="multilevel"/>
    <w:tmpl w:val="425C749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7">
    <w:nsid w:val="468519EC"/>
    <w:multiLevelType w:val="multilevel"/>
    <w:tmpl w:val="468519EC"/>
    <w:lvl w:ilvl="0" w:tentative="0">
      <w:start w:val="0"/>
      <w:numFmt w:val="bullet"/>
      <w:lvlText w:val="-"/>
      <w:lvlJc w:val="left"/>
      <w:pPr>
        <w:ind w:left="760" w:hanging="360"/>
      </w:pPr>
      <w:rPr>
        <w:rFonts w:hint="default" w:ascii="Times" w:hAnsi="Times" w:eastAsia="Batang" w:cs="Times"/>
      </w:rPr>
    </w:lvl>
    <w:lvl w:ilvl="1" w:tentative="0">
      <w:start w:val="1"/>
      <w:numFmt w:val="bullet"/>
      <w:lvlText w:val=""/>
      <w:lvlJc w:val="left"/>
      <w:pPr>
        <w:ind w:left="1200" w:hanging="400"/>
      </w:pPr>
      <w:rPr>
        <w:rFonts w:hint="default" w:ascii="Wingdings" w:hAnsi="Wingdings"/>
      </w:rPr>
    </w:lvl>
    <w:lvl w:ilvl="2" w:tentative="0">
      <w:start w:val="1"/>
      <w:numFmt w:val="bullet"/>
      <w:lvlText w:val=""/>
      <w:lvlJc w:val="left"/>
      <w:pPr>
        <w:ind w:left="1600" w:hanging="400"/>
      </w:pPr>
      <w:rPr>
        <w:rFonts w:hint="default" w:ascii="Wingdings" w:hAnsi="Wingdings"/>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18">
    <w:nsid w:val="508BE803"/>
    <w:multiLevelType w:val="singleLevel"/>
    <w:tmpl w:val="508BE803"/>
    <w:lvl w:ilvl="0" w:tentative="0">
      <w:start w:val="1"/>
      <w:numFmt w:val="bullet"/>
      <w:pStyle w:val="35"/>
      <w:lvlText w:val="-"/>
      <w:lvlJc w:val="left"/>
      <w:pPr>
        <w:ind w:left="420" w:hanging="420"/>
      </w:pPr>
      <w:rPr>
        <w:rFonts w:hint="default" w:ascii="Arial" w:hAnsi="Arial" w:cs="Arial"/>
      </w:rPr>
    </w:lvl>
  </w:abstractNum>
  <w:abstractNum w:abstractNumId="19">
    <w:nsid w:val="594751F7"/>
    <w:multiLevelType w:val="multilevel"/>
    <w:tmpl w:val="594751F7"/>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0">
    <w:nsid w:val="5B1876FA"/>
    <w:multiLevelType w:val="multilevel"/>
    <w:tmpl w:val="5B1876F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1">
    <w:nsid w:val="6218C731"/>
    <w:multiLevelType w:val="multilevel"/>
    <w:tmpl w:val="6218C731"/>
    <w:lvl w:ilvl="0" w:tentative="0">
      <w:start w:val="1"/>
      <w:numFmt w:val="decimal"/>
      <w:lvlText w:val="%1."/>
      <w:lvlJc w:val="left"/>
      <w:pPr>
        <w:ind w:left="425" w:hanging="425"/>
      </w:pPr>
      <w:rPr>
        <w:rFonts w:hint="default" w:ascii="Times New Roman" w:hAnsi="Times New Roman" w:cs="Times New Roman"/>
        <w:b/>
        <w:bCs/>
      </w:rPr>
    </w:lvl>
    <w:lvl w:ilvl="1" w:tentative="0">
      <w:start w:val="1"/>
      <w:numFmt w:val="decimal"/>
      <w:lvlText w:val="%1.%2."/>
      <w:lvlJc w:val="left"/>
      <w:pPr>
        <w:ind w:left="567" w:hanging="567"/>
      </w:pPr>
      <w:rPr>
        <w:rFonts w:hint="default" w:ascii="Times New Roman" w:hAnsi="Times New Roman" w:cs="Times New Roman"/>
        <w:b/>
        <w:bCs/>
        <w:sz w:val="21"/>
        <w:szCs w:val="21"/>
      </w:rPr>
    </w:lvl>
    <w:lvl w:ilvl="2" w:tentative="0">
      <w:start w:val="1"/>
      <w:numFmt w:val="decimal"/>
      <w:lvlText w:val="%1.%2.%3."/>
      <w:lvlJc w:val="left"/>
      <w:pPr>
        <w:ind w:left="709" w:hanging="709"/>
      </w:pPr>
      <w:rPr>
        <w:rFonts w:hint="default" w:ascii="Times New Roman" w:hAnsi="Times New Roman" w:cs="Times New Roman"/>
        <w:b/>
        <w:bCs/>
        <w:sz w:val="21"/>
        <w:szCs w:val="21"/>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22">
    <w:nsid w:val="65000790"/>
    <w:multiLevelType w:val="multilevel"/>
    <w:tmpl w:val="65000790"/>
    <w:lvl w:ilvl="0" w:tentative="0">
      <w:start w:val="1"/>
      <w:numFmt w:val="bullet"/>
      <w:lvlText w:val=""/>
      <w:lvlJc w:val="left"/>
      <w:pPr>
        <w:ind w:left="760" w:hanging="360"/>
      </w:pPr>
      <w:rPr>
        <w:rFonts w:hint="default" w:ascii="Symbol" w:hAnsi="Symbol"/>
      </w:rPr>
    </w:lvl>
    <w:lvl w:ilvl="1" w:tentative="0">
      <w:start w:val="1"/>
      <w:numFmt w:val="bullet"/>
      <w:lvlText w:val=""/>
      <w:lvlJc w:val="left"/>
      <w:pPr>
        <w:ind w:left="1200" w:hanging="400"/>
      </w:pPr>
      <w:rPr>
        <w:rFonts w:hint="default" w:ascii="Wingdings" w:hAnsi="Wingdings"/>
      </w:rPr>
    </w:lvl>
    <w:lvl w:ilvl="2" w:tentative="0">
      <w:start w:val="1"/>
      <w:numFmt w:val="bullet"/>
      <w:lvlText w:val=""/>
      <w:lvlJc w:val="left"/>
      <w:pPr>
        <w:ind w:left="1600" w:hanging="400"/>
      </w:pPr>
      <w:rPr>
        <w:rFonts w:hint="default" w:ascii="Wingdings" w:hAnsi="Wingdings"/>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23">
    <w:nsid w:val="6B65CF54"/>
    <w:multiLevelType w:val="singleLevel"/>
    <w:tmpl w:val="6B65CF54"/>
    <w:lvl w:ilvl="0" w:tentative="0">
      <w:start w:val="1"/>
      <w:numFmt w:val="decimal"/>
      <w:suff w:val="space"/>
      <w:lvlText w:val="%1)"/>
      <w:lvlJc w:val="left"/>
    </w:lvl>
  </w:abstractNum>
  <w:abstractNum w:abstractNumId="24">
    <w:nsid w:val="73CC1F8B"/>
    <w:multiLevelType w:val="singleLevel"/>
    <w:tmpl w:val="73CC1F8B"/>
    <w:lvl w:ilvl="0" w:tentative="0">
      <w:start w:val="1"/>
      <w:numFmt w:val="decimal"/>
      <w:pStyle w:val="57"/>
      <w:lvlText w:val="[%1]"/>
      <w:lvlJc w:val="left"/>
      <w:pPr>
        <w:tabs>
          <w:tab w:val="left" w:pos="1296"/>
        </w:tabs>
        <w:ind w:left="0" w:firstLine="0"/>
      </w:pPr>
      <w:rPr>
        <w:rFonts w:hint="default" w:ascii="Times New Roman Bold" w:hAnsi="Times New Roman Bold" w:cs="Arial"/>
        <w:b/>
        <w:bCs w:val="0"/>
        <w:i w:val="0"/>
        <w:iCs w:val="0"/>
        <w:caps w:val="0"/>
        <w:smallCaps w:val="0"/>
        <w:strike w:val="0"/>
        <w:dstrike w:val="0"/>
        <w:vanish w:val="0"/>
        <w:color w:val="000000"/>
        <w:spacing w:val="0"/>
        <w:kern w:val="0"/>
        <w:position w:val="0"/>
        <w:sz w:val="24"/>
        <w:szCs w:val="24"/>
        <w:u w:val="none"/>
        <w:vertAlign w:val="baseline"/>
        <w14:shadow w14:blurRad="0" w14:dist="0" w14:dir="0" w14:sx="0" w14:sy="0" w14:kx="0" w14:ky="0" w14:algn="none">
          <w14:srgbClr w14:val="000000"/>
        </w14:shadow>
      </w:rPr>
    </w:lvl>
  </w:abstractNum>
  <w:abstractNum w:abstractNumId="25">
    <w:nsid w:val="7A3D3B9C"/>
    <w:multiLevelType w:val="multilevel"/>
    <w:tmpl w:val="7A3D3B9C"/>
    <w:lvl w:ilvl="0" w:tentative="0">
      <w:start w:val="1"/>
      <w:numFmt w:val="bullet"/>
      <w:lvlText w:val=""/>
      <w:lvlJc w:val="left"/>
      <w:pPr>
        <w:ind w:left="760" w:hanging="360"/>
      </w:pPr>
      <w:rPr>
        <w:rFonts w:hint="default" w:ascii="Symbol" w:hAnsi="Symbol"/>
      </w:rPr>
    </w:lvl>
    <w:lvl w:ilvl="1" w:tentative="0">
      <w:start w:val="1"/>
      <w:numFmt w:val="bullet"/>
      <w:lvlText w:val=""/>
      <w:lvlJc w:val="left"/>
      <w:pPr>
        <w:ind w:left="1200" w:hanging="400"/>
      </w:pPr>
      <w:rPr>
        <w:rFonts w:hint="default" w:ascii="Wingdings" w:hAnsi="Wingdings"/>
      </w:rPr>
    </w:lvl>
    <w:lvl w:ilvl="2" w:tentative="0">
      <w:start w:val="1"/>
      <w:numFmt w:val="bullet"/>
      <w:lvlText w:val=""/>
      <w:lvlJc w:val="left"/>
      <w:pPr>
        <w:ind w:left="1600" w:hanging="400"/>
      </w:pPr>
      <w:rPr>
        <w:rFonts w:hint="default" w:ascii="Wingdings" w:hAnsi="Wingdings"/>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26">
    <w:nsid w:val="7DC436CD"/>
    <w:multiLevelType w:val="singleLevel"/>
    <w:tmpl w:val="7DC436CD"/>
    <w:lvl w:ilvl="0" w:tentative="0">
      <w:start w:val="1"/>
      <w:numFmt w:val="bullet"/>
      <w:pStyle w:val="32"/>
      <w:lvlText w:val="•"/>
      <w:lvlJc w:val="left"/>
      <w:pPr>
        <w:tabs>
          <w:tab w:val="left" w:pos="420"/>
        </w:tabs>
        <w:ind w:left="420" w:hanging="378"/>
      </w:pPr>
      <w:rPr>
        <w:rFonts w:hint="default" w:ascii="Arial" w:hAnsi="Arial" w:cs="Arial"/>
      </w:rPr>
    </w:lvl>
  </w:abstractNum>
  <w:abstractNum w:abstractNumId="27">
    <w:nsid w:val="7EA0FFD3"/>
    <w:multiLevelType w:val="singleLevel"/>
    <w:tmpl w:val="7EA0FFD3"/>
    <w:lvl w:ilvl="0" w:tentative="0">
      <w:start w:val="1"/>
      <w:numFmt w:val="decimal"/>
      <w:pStyle w:val="59"/>
      <w:suff w:val="space"/>
      <w:lvlText w:val="Figure %1"/>
      <w:lvlJc w:val="left"/>
      <w:pPr>
        <w:tabs>
          <w:tab w:val="left" w:pos="0"/>
        </w:tabs>
        <w:ind w:left="0" w:firstLine="0"/>
      </w:pPr>
      <w:rPr>
        <w:rFonts w:hint="default" w:ascii="Times New Roman" w:hAnsi="Times New Roman" w:eastAsia="宋体" w:cs="宋体"/>
        <w:b/>
        <w:bCs w:val="0"/>
        <w:i w:val="0"/>
        <w:iCs w:val="0"/>
        <w:caps w:val="0"/>
        <w:smallCaps w:val="0"/>
        <w:strike w:val="0"/>
        <w:dstrike w:val="0"/>
        <w:vanish w:val="0"/>
        <w:color w:val="000000"/>
        <w:spacing w:val="0"/>
        <w:kern w:val="0"/>
        <w:position w:val="0"/>
        <w:sz w:val="21"/>
        <w:szCs w:val="24"/>
        <w:u w:val="none"/>
        <w:vertAlign w:val="baseline"/>
      </w:rPr>
    </w:lvl>
  </w:abstractNum>
  <w:num w:numId="1">
    <w:abstractNumId w:val="9"/>
  </w:num>
  <w:num w:numId="2">
    <w:abstractNumId w:val="7"/>
  </w:num>
  <w:num w:numId="3">
    <w:abstractNumId w:val="3"/>
  </w:num>
  <w:num w:numId="4">
    <w:abstractNumId w:val="26"/>
  </w:num>
  <w:num w:numId="5">
    <w:abstractNumId w:val="2"/>
  </w:num>
  <w:num w:numId="6">
    <w:abstractNumId w:val="18"/>
  </w:num>
  <w:num w:numId="7">
    <w:abstractNumId w:val="15"/>
  </w:num>
  <w:num w:numId="8">
    <w:abstractNumId w:val="24"/>
  </w:num>
  <w:num w:numId="9">
    <w:abstractNumId w:val="27"/>
  </w:num>
  <w:num w:numId="10">
    <w:abstractNumId w:val="21"/>
  </w:num>
  <w:num w:numId="11">
    <w:abstractNumId w:val="20"/>
  </w:num>
  <w:num w:numId="12">
    <w:abstractNumId w:val="6"/>
  </w:num>
  <w:num w:numId="13">
    <w:abstractNumId w:val="10"/>
  </w:num>
  <w:num w:numId="14">
    <w:abstractNumId w:val="22"/>
  </w:num>
  <w:num w:numId="15">
    <w:abstractNumId w:val="25"/>
  </w:num>
  <w:num w:numId="16">
    <w:abstractNumId w:val="8"/>
  </w:num>
  <w:num w:numId="17">
    <w:abstractNumId w:val="11"/>
  </w:num>
  <w:num w:numId="18">
    <w:abstractNumId w:val="16"/>
  </w:num>
  <w:num w:numId="19">
    <w:abstractNumId w:val="12"/>
  </w:num>
  <w:num w:numId="20">
    <w:abstractNumId w:val="0"/>
  </w:num>
  <w:num w:numId="21">
    <w:abstractNumId w:val="14"/>
  </w:num>
  <w:num w:numId="22">
    <w:abstractNumId w:val="19"/>
  </w:num>
  <w:num w:numId="23">
    <w:abstractNumId w:val="23"/>
  </w:num>
  <w:num w:numId="24">
    <w:abstractNumId w:val="1"/>
  </w:num>
  <w:num w:numId="25">
    <w:abstractNumId w:val="5"/>
  </w:num>
  <w:num w:numId="26">
    <w:abstractNumId w:val="4"/>
  </w:num>
  <w:num w:numId="27">
    <w:abstractNumId w:val="17"/>
  </w:num>
  <w:num w:numId="2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20"/>
  <w:drawingGridVerticalSpacing w:val="120"/>
  <w:doNotUseMarginsForDrawingGridOrigin w:val="1"/>
  <w:drawingGridHorizontalOrigin w:val="1800"/>
  <w:drawingGridVerticalOrigin w:val="1440"/>
  <w:doNotShadeFormData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259"/>
    <w:rsid w:val="00001533"/>
    <w:rsid w:val="00007BB2"/>
    <w:rsid w:val="00010389"/>
    <w:rsid w:val="00011362"/>
    <w:rsid w:val="000121D2"/>
    <w:rsid w:val="00013157"/>
    <w:rsid w:val="000132EC"/>
    <w:rsid w:val="0001681D"/>
    <w:rsid w:val="000218E0"/>
    <w:rsid w:val="00024572"/>
    <w:rsid w:val="00033FB8"/>
    <w:rsid w:val="000358CD"/>
    <w:rsid w:val="0003678C"/>
    <w:rsid w:val="00036ED3"/>
    <w:rsid w:val="00037CEC"/>
    <w:rsid w:val="00040460"/>
    <w:rsid w:val="00041DF7"/>
    <w:rsid w:val="00046489"/>
    <w:rsid w:val="000464A0"/>
    <w:rsid w:val="00054432"/>
    <w:rsid w:val="0006224C"/>
    <w:rsid w:val="000651DC"/>
    <w:rsid w:val="00066C13"/>
    <w:rsid w:val="00073C2C"/>
    <w:rsid w:val="00074746"/>
    <w:rsid w:val="00082475"/>
    <w:rsid w:val="00085F2B"/>
    <w:rsid w:val="000A1584"/>
    <w:rsid w:val="000A2884"/>
    <w:rsid w:val="000A2D79"/>
    <w:rsid w:val="000A4CAF"/>
    <w:rsid w:val="000B009D"/>
    <w:rsid w:val="000B1F21"/>
    <w:rsid w:val="000B3F71"/>
    <w:rsid w:val="000B6118"/>
    <w:rsid w:val="000B7C70"/>
    <w:rsid w:val="000C423D"/>
    <w:rsid w:val="000C562A"/>
    <w:rsid w:val="000C60E2"/>
    <w:rsid w:val="000C6E62"/>
    <w:rsid w:val="000C765E"/>
    <w:rsid w:val="000D24BA"/>
    <w:rsid w:val="000D2616"/>
    <w:rsid w:val="000E3D06"/>
    <w:rsid w:val="000F0D64"/>
    <w:rsid w:val="000F3584"/>
    <w:rsid w:val="00105029"/>
    <w:rsid w:val="001052A3"/>
    <w:rsid w:val="00105C2D"/>
    <w:rsid w:val="0011053D"/>
    <w:rsid w:val="0011115B"/>
    <w:rsid w:val="00111CB8"/>
    <w:rsid w:val="00114D8A"/>
    <w:rsid w:val="00115C34"/>
    <w:rsid w:val="00116D48"/>
    <w:rsid w:val="00120A32"/>
    <w:rsid w:val="00122562"/>
    <w:rsid w:val="0012492B"/>
    <w:rsid w:val="00134AE1"/>
    <w:rsid w:val="00135C94"/>
    <w:rsid w:val="001426DD"/>
    <w:rsid w:val="00142D93"/>
    <w:rsid w:val="00144A4B"/>
    <w:rsid w:val="00151DB3"/>
    <w:rsid w:val="00156911"/>
    <w:rsid w:val="00163304"/>
    <w:rsid w:val="0016494A"/>
    <w:rsid w:val="00172A27"/>
    <w:rsid w:val="00176FEF"/>
    <w:rsid w:val="0018384C"/>
    <w:rsid w:val="00194826"/>
    <w:rsid w:val="0019493C"/>
    <w:rsid w:val="001958EE"/>
    <w:rsid w:val="001B0E9F"/>
    <w:rsid w:val="001B1E36"/>
    <w:rsid w:val="001B2954"/>
    <w:rsid w:val="001B63AC"/>
    <w:rsid w:val="001B69E6"/>
    <w:rsid w:val="001C22B7"/>
    <w:rsid w:val="001C34EA"/>
    <w:rsid w:val="001C5C7C"/>
    <w:rsid w:val="001C7731"/>
    <w:rsid w:val="001E4EB5"/>
    <w:rsid w:val="001E5B39"/>
    <w:rsid w:val="001F2044"/>
    <w:rsid w:val="001F20E7"/>
    <w:rsid w:val="001F454E"/>
    <w:rsid w:val="001F4603"/>
    <w:rsid w:val="001F481B"/>
    <w:rsid w:val="001F4C38"/>
    <w:rsid w:val="00201FA0"/>
    <w:rsid w:val="002115B4"/>
    <w:rsid w:val="00217601"/>
    <w:rsid w:val="002203BB"/>
    <w:rsid w:val="0022317D"/>
    <w:rsid w:val="00223523"/>
    <w:rsid w:val="0022554F"/>
    <w:rsid w:val="00226573"/>
    <w:rsid w:val="00227542"/>
    <w:rsid w:val="00232741"/>
    <w:rsid w:val="00233407"/>
    <w:rsid w:val="00234B56"/>
    <w:rsid w:val="00235193"/>
    <w:rsid w:val="00236074"/>
    <w:rsid w:val="002375D2"/>
    <w:rsid w:val="00242E2D"/>
    <w:rsid w:val="00244339"/>
    <w:rsid w:val="00244DDD"/>
    <w:rsid w:val="00250BAD"/>
    <w:rsid w:val="002577D1"/>
    <w:rsid w:val="00261D15"/>
    <w:rsid w:val="00265D0A"/>
    <w:rsid w:val="00267F31"/>
    <w:rsid w:val="00271783"/>
    <w:rsid w:val="00276BB3"/>
    <w:rsid w:val="00276E34"/>
    <w:rsid w:val="00276EAA"/>
    <w:rsid w:val="00277F98"/>
    <w:rsid w:val="0028709E"/>
    <w:rsid w:val="00290343"/>
    <w:rsid w:val="0029059B"/>
    <w:rsid w:val="002910DE"/>
    <w:rsid w:val="0029236C"/>
    <w:rsid w:val="00295BFC"/>
    <w:rsid w:val="002A182A"/>
    <w:rsid w:val="002A288F"/>
    <w:rsid w:val="002A6CF5"/>
    <w:rsid w:val="002B113F"/>
    <w:rsid w:val="002B232B"/>
    <w:rsid w:val="002C2179"/>
    <w:rsid w:val="002C305B"/>
    <w:rsid w:val="002C7949"/>
    <w:rsid w:val="002D28B5"/>
    <w:rsid w:val="002D5E31"/>
    <w:rsid w:val="002D785A"/>
    <w:rsid w:val="002E02FB"/>
    <w:rsid w:val="002E237D"/>
    <w:rsid w:val="002E4F9B"/>
    <w:rsid w:val="002E649F"/>
    <w:rsid w:val="002E6F39"/>
    <w:rsid w:val="002E7313"/>
    <w:rsid w:val="002F18EC"/>
    <w:rsid w:val="002F1E63"/>
    <w:rsid w:val="002F3AC9"/>
    <w:rsid w:val="002F3F12"/>
    <w:rsid w:val="002F415F"/>
    <w:rsid w:val="002F41F2"/>
    <w:rsid w:val="002F62C5"/>
    <w:rsid w:val="002F705D"/>
    <w:rsid w:val="00300DBD"/>
    <w:rsid w:val="00303843"/>
    <w:rsid w:val="00303B07"/>
    <w:rsid w:val="003059FC"/>
    <w:rsid w:val="003102E0"/>
    <w:rsid w:val="003128E4"/>
    <w:rsid w:val="0031557B"/>
    <w:rsid w:val="00320770"/>
    <w:rsid w:val="00324737"/>
    <w:rsid w:val="003308E9"/>
    <w:rsid w:val="0033187D"/>
    <w:rsid w:val="00331D77"/>
    <w:rsid w:val="00332E74"/>
    <w:rsid w:val="00336532"/>
    <w:rsid w:val="00336C18"/>
    <w:rsid w:val="00347EE9"/>
    <w:rsid w:val="00351902"/>
    <w:rsid w:val="00353EBF"/>
    <w:rsid w:val="003657ED"/>
    <w:rsid w:val="00370C9F"/>
    <w:rsid w:val="00371BBF"/>
    <w:rsid w:val="00377B8D"/>
    <w:rsid w:val="00381508"/>
    <w:rsid w:val="00381F4D"/>
    <w:rsid w:val="00385640"/>
    <w:rsid w:val="003919F3"/>
    <w:rsid w:val="0039320F"/>
    <w:rsid w:val="00394688"/>
    <w:rsid w:val="003A64B7"/>
    <w:rsid w:val="003B4BE6"/>
    <w:rsid w:val="003B734E"/>
    <w:rsid w:val="003C2FB8"/>
    <w:rsid w:val="003C6EA7"/>
    <w:rsid w:val="003C727B"/>
    <w:rsid w:val="003D0348"/>
    <w:rsid w:val="003D10E2"/>
    <w:rsid w:val="003D20DF"/>
    <w:rsid w:val="003D4439"/>
    <w:rsid w:val="003D771B"/>
    <w:rsid w:val="003E04A7"/>
    <w:rsid w:val="003E34E8"/>
    <w:rsid w:val="003E3798"/>
    <w:rsid w:val="003E61E7"/>
    <w:rsid w:val="003F0ACA"/>
    <w:rsid w:val="003F1EF0"/>
    <w:rsid w:val="003F30E6"/>
    <w:rsid w:val="003F5933"/>
    <w:rsid w:val="003F7975"/>
    <w:rsid w:val="003F7B56"/>
    <w:rsid w:val="0040221A"/>
    <w:rsid w:val="00406291"/>
    <w:rsid w:val="00406C95"/>
    <w:rsid w:val="0041177A"/>
    <w:rsid w:val="00411842"/>
    <w:rsid w:val="00416528"/>
    <w:rsid w:val="00420D8A"/>
    <w:rsid w:val="00420FCF"/>
    <w:rsid w:val="00430F97"/>
    <w:rsid w:val="0043221E"/>
    <w:rsid w:val="0043643B"/>
    <w:rsid w:val="004421C8"/>
    <w:rsid w:val="00444592"/>
    <w:rsid w:val="00452351"/>
    <w:rsid w:val="00453B58"/>
    <w:rsid w:val="004550AC"/>
    <w:rsid w:val="00456AC4"/>
    <w:rsid w:val="00460F5D"/>
    <w:rsid w:val="004627C8"/>
    <w:rsid w:val="00465F02"/>
    <w:rsid w:val="00467485"/>
    <w:rsid w:val="00467652"/>
    <w:rsid w:val="0047305A"/>
    <w:rsid w:val="00474F52"/>
    <w:rsid w:val="00475B39"/>
    <w:rsid w:val="0047730D"/>
    <w:rsid w:val="00483BD2"/>
    <w:rsid w:val="00484231"/>
    <w:rsid w:val="004902EA"/>
    <w:rsid w:val="00494479"/>
    <w:rsid w:val="004A6003"/>
    <w:rsid w:val="004B588E"/>
    <w:rsid w:val="004B61D5"/>
    <w:rsid w:val="004B65D2"/>
    <w:rsid w:val="004B6C6F"/>
    <w:rsid w:val="004B7E81"/>
    <w:rsid w:val="004C13DB"/>
    <w:rsid w:val="004C1FF3"/>
    <w:rsid w:val="004C28AD"/>
    <w:rsid w:val="004C3E2D"/>
    <w:rsid w:val="004C42D6"/>
    <w:rsid w:val="004D0496"/>
    <w:rsid w:val="004D0B4E"/>
    <w:rsid w:val="004D313B"/>
    <w:rsid w:val="004D4174"/>
    <w:rsid w:val="004D58E2"/>
    <w:rsid w:val="004D733C"/>
    <w:rsid w:val="004D7773"/>
    <w:rsid w:val="004D7F00"/>
    <w:rsid w:val="004F309B"/>
    <w:rsid w:val="005033BA"/>
    <w:rsid w:val="00507DEE"/>
    <w:rsid w:val="00511A3B"/>
    <w:rsid w:val="005127B0"/>
    <w:rsid w:val="0051382A"/>
    <w:rsid w:val="0051630D"/>
    <w:rsid w:val="00516392"/>
    <w:rsid w:val="00520392"/>
    <w:rsid w:val="00521EE3"/>
    <w:rsid w:val="00522E8D"/>
    <w:rsid w:val="0052535F"/>
    <w:rsid w:val="00527769"/>
    <w:rsid w:val="00531CAA"/>
    <w:rsid w:val="00533317"/>
    <w:rsid w:val="005344B6"/>
    <w:rsid w:val="00535E0B"/>
    <w:rsid w:val="005361F2"/>
    <w:rsid w:val="005426DD"/>
    <w:rsid w:val="00546EC3"/>
    <w:rsid w:val="00555802"/>
    <w:rsid w:val="00556291"/>
    <w:rsid w:val="005564FD"/>
    <w:rsid w:val="00556D9A"/>
    <w:rsid w:val="00560F18"/>
    <w:rsid w:val="005636B9"/>
    <w:rsid w:val="0056493A"/>
    <w:rsid w:val="005669EB"/>
    <w:rsid w:val="0057208E"/>
    <w:rsid w:val="00573CB2"/>
    <w:rsid w:val="005760A7"/>
    <w:rsid w:val="00577081"/>
    <w:rsid w:val="00577EA8"/>
    <w:rsid w:val="00583708"/>
    <w:rsid w:val="00584000"/>
    <w:rsid w:val="00587C04"/>
    <w:rsid w:val="00595DAA"/>
    <w:rsid w:val="00596579"/>
    <w:rsid w:val="005968AB"/>
    <w:rsid w:val="00596DC2"/>
    <w:rsid w:val="005A1122"/>
    <w:rsid w:val="005A3B4B"/>
    <w:rsid w:val="005A7057"/>
    <w:rsid w:val="005B065E"/>
    <w:rsid w:val="005B098F"/>
    <w:rsid w:val="005B186C"/>
    <w:rsid w:val="005B351A"/>
    <w:rsid w:val="005B52DF"/>
    <w:rsid w:val="005B59D4"/>
    <w:rsid w:val="005B5DB6"/>
    <w:rsid w:val="005C11D3"/>
    <w:rsid w:val="005C3B36"/>
    <w:rsid w:val="005C7C8D"/>
    <w:rsid w:val="005D2329"/>
    <w:rsid w:val="005D6168"/>
    <w:rsid w:val="005E29F1"/>
    <w:rsid w:val="005E59C7"/>
    <w:rsid w:val="005E744B"/>
    <w:rsid w:val="005F2A45"/>
    <w:rsid w:val="005F72A5"/>
    <w:rsid w:val="005F799A"/>
    <w:rsid w:val="00604D3B"/>
    <w:rsid w:val="006115D8"/>
    <w:rsid w:val="006137F6"/>
    <w:rsid w:val="0061386E"/>
    <w:rsid w:val="00615E53"/>
    <w:rsid w:val="00615FC7"/>
    <w:rsid w:val="006162E5"/>
    <w:rsid w:val="006202C0"/>
    <w:rsid w:val="0063495A"/>
    <w:rsid w:val="0063503F"/>
    <w:rsid w:val="006364F5"/>
    <w:rsid w:val="006402B3"/>
    <w:rsid w:val="00641B45"/>
    <w:rsid w:val="00643BE3"/>
    <w:rsid w:val="00647047"/>
    <w:rsid w:val="00647FE7"/>
    <w:rsid w:val="006503B4"/>
    <w:rsid w:val="00655522"/>
    <w:rsid w:val="00655BF7"/>
    <w:rsid w:val="00661A2A"/>
    <w:rsid w:val="00662C25"/>
    <w:rsid w:val="00665A4E"/>
    <w:rsid w:val="006725F3"/>
    <w:rsid w:val="00673028"/>
    <w:rsid w:val="00673095"/>
    <w:rsid w:val="00675BC6"/>
    <w:rsid w:val="006805BC"/>
    <w:rsid w:val="006830EB"/>
    <w:rsid w:val="00683CBB"/>
    <w:rsid w:val="00684EFF"/>
    <w:rsid w:val="00685239"/>
    <w:rsid w:val="0068742D"/>
    <w:rsid w:val="00687FA8"/>
    <w:rsid w:val="00691828"/>
    <w:rsid w:val="00693AF3"/>
    <w:rsid w:val="006940BC"/>
    <w:rsid w:val="006965E6"/>
    <w:rsid w:val="006A17BA"/>
    <w:rsid w:val="006A1CE2"/>
    <w:rsid w:val="006A349F"/>
    <w:rsid w:val="006A41BB"/>
    <w:rsid w:val="006A5607"/>
    <w:rsid w:val="006A67D1"/>
    <w:rsid w:val="006A7A11"/>
    <w:rsid w:val="006B0A46"/>
    <w:rsid w:val="006B3B0F"/>
    <w:rsid w:val="006B5CF1"/>
    <w:rsid w:val="006B78D4"/>
    <w:rsid w:val="006C064D"/>
    <w:rsid w:val="006C3618"/>
    <w:rsid w:val="006C4C2F"/>
    <w:rsid w:val="006C6EC9"/>
    <w:rsid w:val="006D02A8"/>
    <w:rsid w:val="006D031F"/>
    <w:rsid w:val="006D097E"/>
    <w:rsid w:val="006D7080"/>
    <w:rsid w:val="006E146B"/>
    <w:rsid w:val="006E2013"/>
    <w:rsid w:val="006E23EB"/>
    <w:rsid w:val="006E2E20"/>
    <w:rsid w:val="006E3DEA"/>
    <w:rsid w:val="006E4AF9"/>
    <w:rsid w:val="006E7C0F"/>
    <w:rsid w:val="006F0C2D"/>
    <w:rsid w:val="006F1A03"/>
    <w:rsid w:val="007044A6"/>
    <w:rsid w:val="00704C97"/>
    <w:rsid w:val="00704EAD"/>
    <w:rsid w:val="007100EE"/>
    <w:rsid w:val="00711E21"/>
    <w:rsid w:val="00714676"/>
    <w:rsid w:val="0071524D"/>
    <w:rsid w:val="00720408"/>
    <w:rsid w:val="00720A0B"/>
    <w:rsid w:val="00723DE8"/>
    <w:rsid w:val="00730232"/>
    <w:rsid w:val="007313EE"/>
    <w:rsid w:val="007336DC"/>
    <w:rsid w:val="00733B93"/>
    <w:rsid w:val="00740DE3"/>
    <w:rsid w:val="007413E9"/>
    <w:rsid w:val="00744D9E"/>
    <w:rsid w:val="00746D4E"/>
    <w:rsid w:val="00761385"/>
    <w:rsid w:val="00761A4D"/>
    <w:rsid w:val="00763C7E"/>
    <w:rsid w:val="00773478"/>
    <w:rsid w:val="00773ED4"/>
    <w:rsid w:val="00774239"/>
    <w:rsid w:val="00774353"/>
    <w:rsid w:val="00785E8C"/>
    <w:rsid w:val="0079317C"/>
    <w:rsid w:val="007942C6"/>
    <w:rsid w:val="007946E1"/>
    <w:rsid w:val="00794A12"/>
    <w:rsid w:val="00796361"/>
    <w:rsid w:val="007A1893"/>
    <w:rsid w:val="007A3E76"/>
    <w:rsid w:val="007B300B"/>
    <w:rsid w:val="007B57F6"/>
    <w:rsid w:val="007C25D3"/>
    <w:rsid w:val="007C3B82"/>
    <w:rsid w:val="007C58DD"/>
    <w:rsid w:val="007C7120"/>
    <w:rsid w:val="007D167F"/>
    <w:rsid w:val="007D347E"/>
    <w:rsid w:val="007D43AD"/>
    <w:rsid w:val="007D5903"/>
    <w:rsid w:val="007D769E"/>
    <w:rsid w:val="007E1B1E"/>
    <w:rsid w:val="007E72C3"/>
    <w:rsid w:val="007F0443"/>
    <w:rsid w:val="007F0F85"/>
    <w:rsid w:val="007F2425"/>
    <w:rsid w:val="0080170A"/>
    <w:rsid w:val="00803E39"/>
    <w:rsid w:val="00812886"/>
    <w:rsid w:val="00813137"/>
    <w:rsid w:val="00814940"/>
    <w:rsid w:val="00815927"/>
    <w:rsid w:val="00816480"/>
    <w:rsid w:val="008278B4"/>
    <w:rsid w:val="00827AE8"/>
    <w:rsid w:val="00830664"/>
    <w:rsid w:val="0083105B"/>
    <w:rsid w:val="00831909"/>
    <w:rsid w:val="0083224C"/>
    <w:rsid w:val="0083285E"/>
    <w:rsid w:val="00832CC8"/>
    <w:rsid w:val="00834EE2"/>
    <w:rsid w:val="008363E1"/>
    <w:rsid w:val="0084496F"/>
    <w:rsid w:val="008456EB"/>
    <w:rsid w:val="00846A69"/>
    <w:rsid w:val="008551A2"/>
    <w:rsid w:val="008635FE"/>
    <w:rsid w:val="0086384B"/>
    <w:rsid w:val="00863C40"/>
    <w:rsid w:val="00865064"/>
    <w:rsid w:val="00865F47"/>
    <w:rsid w:val="00870D13"/>
    <w:rsid w:val="008716A4"/>
    <w:rsid w:val="0087257F"/>
    <w:rsid w:val="00873977"/>
    <w:rsid w:val="00876E68"/>
    <w:rsid w:val="00884A9A"/>
    <w:rsid w:val="00885BC9"/>
    <w:rsid w:val="00887146"/>
    <w:rsid w:val="00890F26"/>
    <w:rsid w:val="008922B4"/>
    <w:rsid w:val="00896063"/>
    <w:rsid w:val="00896A89"/>
    <w:rsid w:val="008A0305"/>
    <w:rsid w:val="008A3CEE"/>
    <w:rsid w:val="008A670A"/>
    <w:rsid w:val="008A7980"/>
    <w:rsid w:val="008A7AD7"/>
    <w:rsid w:val="008A7F5B"/>
    <w:rsid w:val="008B0720"/>
    <w:rsid w:val="008B127D"/>
    <w:rsid w:val="008C08EE"/>
    <w:rsid w:val="008C1DD0"/>
    <w:rsid w:val="008C2E4C"/>
    <w:rsid w:val="008C2EB7"/>
    <w:rsid w:val="008C3C3F"/>
    <w:rsid w:val="008C6A31"/>
    <w:rsid w:val="008C7F7A"/>
    <w:rsid w:val="008D2AF6"/>
    <w:rsid w:val="008D414D"/>
    <w:rsid w:val="008D7045"/>
    <w:rsid w:val="008E0DBA"/>
    <w:rsid w:val="008E0FCD"/>
    <w:rsid w:val="008E6C70"/>
    <w:rsid w:val="008F44B0"/>
    <w:rsid w:val="008F76F7"/>
    <w:rsid w:val="009026B1"/>
    <w:rsid w:val="00910698"/>
    <w:rsid w:val="00911427"/>
    <w:rsid w:val="00911656"/>
    <w:rsid w:val="00911B24"/>
    <w:rsid w:val="00917874"/>
    <w:rsid w:val="00920269"/>
    <w:rsid w:val="00921EDB"/>
    <w:rsid w:val="00924123"/>
    <w:rsid w:val="009264DB"/>
    <w:rsid w:val="00930DD6"/>
    <w:rsid w:val="0093484A"/>
    <w:rsid w:val="0094302B"/>
    <w:rsid w:val="00943E43"/>
    <w:rsid w:val="00944AB1"/>
    <w:rsid w:val="00944BED"/>
    <w:rsid w:val="0094549A"/>
    <w:rsid w:val="00945958"/>
    <w:rsid w:val="00954A18"/>
    <w:rsid w:val="0095581D"/>
    <w:rsid w:val="0096044C"/>
    <w:rsid w:val="00960F0D"/>
    <w:rsid w:val="00963156"/>
    <w:rsid w:val="0097543C"/>
    <w:rsid w:val="009775D3"/>
    <w:rsid w:val="00977E8F"/>
    <w:rsid w:val="00983278"/>
    <w:rsid w:val="00984B03"/>
    <w:rsid w:val="00986C7C"/>
    <w:rsid w:val="009870D7"/>
    <w:rsid w:val="00992968"/>
    <w:rsid w:val="0099578C"/>
    <w:rsid w:val="009A0714"/>
    <w:rsid w:val="009A17FB"/>
    <w:rsid w:val="009A1C9A"/>
    <w:rsid w:val="009A22F9"/>
    <w:rsid w:val="009A2FCD"/>
    <w:rsid w:val="009A30A1"/>
    <w:rsid w:val="009A417D"/>
    <w:rsid w:val="009B1C2D"/>
    <w:rsid w:val="009B334B"/>
    <w:rsid w:val="009B37ED"/>
    <w:rsid w:val="009B3F7A"/>
    <w:rsid w:val="009B4630"/>
    <w:rsid w:val="009C5AD8"/>
    <w:rsid w:val="009C747F"/>
    <w:rsid w:val="009D043C"/>
    <w:rsid w:val="009D0EF4"/>
    <w:rsid w:val="009D3093"/>
    <w:rsid w:val="009D56BB"/>
    <w:rsid w:val="009D5915"/>
    <w:rsid w:val="009D5CC9"/>
    <w:rsid w:val="009E1EBF"/>
    <w:rsid w:val="009E28EC"/>
    <w:rsid w:val="009E29CF"/>
    <w:rsid w:val="009E57D9"/>
    <w:rsid w:val="009F5493"/>
    <w:rsid w:val="009F672F"/>
    <w:rsid w:val="009F6C1E"/>
    <w:rsid w:val="009F7F8C"/>
    <w:rsid w:val="00A0073A"/>
    <w:rsid w:val="00A01035"/>
    <w:rsid w:val="00A017EF"/>
    <w:rsid w:val="00A02DE2"/>
    <w:rsid w:val="00A05CED"/>
    <w:rsid w:val="00A07525"/>
    <w:rsid w:val="00A07597"/>
    <w:rsid w:val="00A1045F"/>
    <w:rsid w:val="00A11BCC"/>
    <w:rsid w:val="00A217C6"/>
    <w:rsid w:val="00A21A86"/>
    <w:rsid w:val="00A237AA"/>
    <w:rsid w:val="00A24F6E"/>
    <w:rsid w:val="00A25260"/>
    <w:rsid w:val="00A2600D"/>
    <w:rsid w:val="00A26B51"/>
    <w:rsid w:val="00A27982"/>
    <w:rsid w:val="00A30EDA"/>
    <w:rsid w:val="00A315C8"/>
    <w:rsid w:val="00A32632"/>
    <w:rsid w:val="00A33622"/>
    <w:rsid w:val="00A36F47"/>
    <w:rsid w:val="00A442D0"/>
    <w:rsid w:val="00A44309"/>
    <w:rsid w:val="00A452E2"/>
    <w:rsid w:val="00A46C38"/>
    <w:rsid w:val="00A46ED4"/>
    <w:rsid w:val="00A46F1F"/>
    <w:rsid w:val="00A519F5"/>
    <w:rsid w:val="00A5238A"/>
    <w:rsid w:val="00A52FDB"/>
    <w:rsid w:val="00A61407"/>
    <w:rsid w:val="00A64F95"/>
    <w:rsid w:val="00A71BD6"/>
    <w:rsid w:val="00A726CB"/>
    <w:rsid w:val="00A73834"/>
    <w:rsid w:val="00A80147"/>
    <w:rsid w:val="00A8211A"/>
    <w:rsid w:val="00A8309D"/>
    <w:rsid w:val="00A8342B"/>
    <w:rsid w:val="00A84E3B"/>
    <w:rsid w:val="00A86797"/>
    <w:rsid w:val="00A8749F"/>
    <w:rsid w:val="00A914DF"/>
    <w:rsid w:val="00A94567"/>
    <w:rsid w:val="00AA1F20"/>
    <w:rsid w:val="00AA4BD9"/>
    <w:rsid w:val="00AA6278"/>
    <w:rsid w:val="00AB0482"/>
    <w:rsid w:val="00AB095A"/>
    <w:rsid w:val="00AB2184"/>
    <w:rsid w:val="00AB3B4A"/>
    <w:rsid w:val="00AB5D57"/>
    <w:rsid w:val="00AB7140"/>
    <w:rsid w:val="00AB7E2D"/>
    <w:rsid w:val="00AC2B5A"/>
    <w:rsid w:val="00AC762E"/>
    <w:rsid w:val="00AD01B8"/>
    <w:rsid w:val="00AD2370"/>
    <w:rsid w:val="00AE177A"/>
    <w:rsid w:val="00AE1C11"/>
    <w:rsid w:val="00AE26A8"/>
    <w:rsid w:val="00AE2760"/>
    <w:rsid w:val="00AE305D"/>
    <w:rsid w:val="00AE7121"/>
    <w:rsid w:val="00AE74CD"/>
    <w:rsid w:val="00AF00F5"/>
    <w:rsid w:val="00AF1FE1"/>
    <w:rsid w:val="00AF2F5B"/>
    <w:rsid w:val="00AF73E3"/>
    <w:rsid w:val="00B024B2"/>
    <w:rsid w:val="00B024E4"/>
    <w:rsid w:val="00B0293D"/>
    <w:rsid w:val="00B03792"/>
    <w:rsid w:val="00B06256"/>
    <w:rsid w:val="00B0673F"/>
    <w:rsid w:val="00B10F45"/>
    <w:rsid w:val="00B10F8E"/>
    <w:rsid w:val="00B1213C"/>
    <w:rsid w:val="00B14252"/>
    <w:rsid w:val="00B17B17"/>
    <w:rsid w:val="00B207DC"/>
    <w:rsid w:val="00B2101E"/>
    <w:rsid w:val="00B214AA"/>
    <w:rsid w:val="00B22F62"/>
    <w:rsid w:val="00B24489"/>
    <w:rsid w:val="00B26434"/>
    <w:rsid w:val="00B26C3C"/>
    <w:rsid w:val="00B3425E"/>
    <w:rsid w:val="00B3522E"/>
    <w:rsid w:val="00B37F57"/>
    <w:rsid w:val="00B37FF3"/>
    <w:rsid w:val="00B423F0"/>
    <w:rsid w:val="00B428C8"/>
    <w:rsid w:val="00B545C2"/>
    <w:rsid w:val="00B54A2E"/>
    <w:rsid w:val="00B55484"/>
    <w:rsid w:val="00B5670A"/>
    <w:rsid w:val="00B571BA"/>
    <w:rsid w:val="00B602EE"/>
    <w:rsid w:val="00B60D44"/>
    <w:rsid w:val="00B61E65"/>
    <w:rsid w:val="00B647D0"/>
    <w:rsid w:val="00B75EFB"/>
    <w:rsid w:val="00B80FE6"/>
    <w:rsid w:val="00B83741"/>
    <w:rsid w:val="00B83C40"/>
    <w:rsid w:val="00B92B11"/>
    <w:rsid w:val="00B93E27"/>
    <w:rsid w:val="00BA0F3B"/>
    <w:rsid w:val="00BA1733"/>
    <w:rsid w:val="00BA4B55"/>
    <w:rsid w:val="00BB2EB1"/>
    <w:rsid w:val="00BB39F2"/>
    <w:rsid w:val="00BB6E0F"/>
    <w:rsid w:val="00BC3899"/>
    <w:rsid w:val="00BD797E"/>
    <w:rsid w:val="00BE02CC"/>
    <w:rsid w:val="00BE306B"/>
    <w:rsid w:val="00BE342C"/>
    <w:rsid w:val="00BE3EC1"/>
    <w:rsid w:val="00BE7856"/>
    <w:rsid w:val="00BF2A62"/>
    <w:rsid w:val="00BF6754"/>
    <w:rsid w:val="00BF6FA5"/>
    <w:rsid w:val="00C00CC3"/>
    <w:rsid w:val="00C1354A"/>
    <w:rsid w:val="00C135A0"/>
    <w:rsid w:val="00C14402"/>
    <w:rsid w:val="00C16604"/>
    <w:rsid w:val="00C209EF"/>
    <w:rsid w:val="00C2443A"/>
    <w:rsid w:val="00C25027"/>
    <w:rsid w:val="00C27B60"/>
    <w:rsid w:val="00C31056"/>
    <w:rsid w:val="00C362F1"/>
    <w:rsid w:val="00C536C5"/>
    <w:rsid w:val="00C53CF9"/>
    <w:rsid w:val="00C65A5F"/>
    <w:rsid w:val="00C65AAF"/>
    <w:rsid w:val="00C70560"/>
    <w:rsid w:val="00C720A3"/>
    <w:rsid w:val="00C758AE"/>
    <w:rsid w:val="00C766D7"/>
    <w:rsid w:val="00C76A51"/>
    <w:rsid w:val="00C80A25"/>
    <w:rsid w:val="00C82AB5"/>
    <w:rsid w:val="00C8614D"/>
    <w:rsid w:val="00C869A2"/>
    <w:rsid w:val="00C86E2B"/>
    <w:rsid w:val="00C87215"/>
    <w:rsid w:val="00C91147"/>
    <w:rsid w:val="00C95CBD"/>
    <w:rsid w:val="00C963A3"/>
    <w:rsid w:val="00CA0E49"/>
    <w:rsid w:val="00CA2ED6"/>
    <w:rsid w:val="00CA6099"/>
    <w:rsid w:val="00CA6836"/>
    <w:rsid w:val="00CB0122"/>
    <w:rsid w:val="00CB3E3A"/>
    <w:rsid w:val="00CB6D5A"/>
    <w:rsid w:val="00CB7C8B"/>
    <w:rsid w:val="00CC1EBD"/>
    <w:rsid w:val="00CC3995"/>
    <w:rsid w:val="00CD39D4"/>
    <w:rsid w:val="00CD63CA"/>
    <w:rsid w:val="00CE0516"/>
    <w:rsid w:val="00CE255B"/>
    <w:rsid w:val="00CF0172"/>
    <w:rsid w:val="00CF15EF"/>
    <w:rsid w:val="00CF1B79"/>
    <w:rsid w:val="00CF2004"/>
    <w:rsid w:val="00CF486B"/>
    <w:rsid w:val="00CF4C2F"/>
    <w:rsid w:val="00D0024A"/>
    <w:rsid w:val="00D01011"/>
    <w:rsid w:val="00D0201E"/>
    <w:rsid w:val="00D020FF"/>
    <w:rsid w:val="00D06083"/>
    <w:rsid w:val="00D11844"/>
    <w:rsid w:val="00D144B5"/>
    <w:rsid w:val="00D152D3"/>
    <w:rsid w:val="00D209E0"/>
    <w:rsid w:val="00D24FB0"/>
    <w:rsid w:val="00D25673"/>
    <w:rsid w:val="00D2741D"/>
    <w:rsid w:val="00D27CC6"/>
    <w:rsid w:val="00D315F9"/>
    <w:rsid w:val="00D35D6F"/>
    <w:rsid w:val="00D36BB3"/>
    <w:rsid w:val="00D41C74"/>
    <w:rsid w:val="00D429ED"/>
    <w:rsid w:val="00D4326F"/>
    <w:rsid w:val="00D436F3"/>
    <w:rsid w:val="00D4521F"/>
    <w:rsid w:val="00D453AE"/>
    <w:rsid w:val="00D45B3F"/>
    <w:rsid w:val="00D45CBB"/>
    <w:rsid w:val="00D50ED1"/>
    <w:rsid w:val="00D53350"/>
    <w:rsid w:val="00D5676B"/>
    <w:rsid w:val="00D573B4"/>
    <w:rsid w:val="00D62537"/>
    <w:rsid w:val="00D63A96"/>
    <w:rsid w:val="00D711A1"/>
    <w:rsid w:val="00D72145"/>
    <w:rsid w:val="00D72C83"/>
    <w:rsid w:val="00D73167"/>
    <w:rsid w:val="00D743E3"/>
    <w:rsid w:val="00D80115"/>
    <w:rsid w:val="00D81E19"/>
    <w:rsid w:val="00D83749"/>
    <w:rsid w:val="00D83BF5"/>
    <w:rsid w:val="00D83C97"/>
    <w:rsid w:val="00D8561C"/>
    <w:rsid w:val="00D90DF1"/>
    <w:rsid w:val="00D97253"/>
    <w:rsid w:val="00DA08CB"/>
    <w:rsid w:val="00DA57A2"/>
    <w:rsid w:val="00DB0F7E"/>
    <w:rsid w:val="00DB3575"/>
    <w:rsid w:val="00DC0159"/>
    <w:rsid w:val="00DC463F"/>
    <w:rsid w:val="00DD60F1"/>
    <w:rsid w:val="00DD7CB7"/>
    <w:rsid w:val="00DE0DCE"/>
    <w:rsid w:val="00DE0E26"/>
    <w:rsid w:val="00DE1E5E"/>
    <w:rsid w:val="00DE27A1"/>
    <w:rsid w:val="00DE3AF1"/>
    <w:rsid w:val="00DE4DB7"/>
    <w:rsid w:val="00DE511E"/>
    <w:rsid w:val="00DF07AA"/>
    <w:rsid w:val="00DF31AD"/>
    <w:rsid w:val="00DF3B96"/>
    <w:rsid w:val="00DF3F57"/>
    <w:rsid w:val="00DF5979"/>
    <w:rsid w:val="00DF66B1"/>
    <w:rsid w:val="00E00547"/>
    <w:rsid w:val="00E069DA"/>
    <w:rsid w:val="00E07A3F"/>
    <w:rsid w:val="00E10275"/>
    <w:rsid w:val="00E10E3E"/>
    <w:rsid w:val="00E110E9"/>
    <w:rsid w:val="00E14229"/>
    <w:rsid w:val="00E14B57"/>
    <w:rsid w:val="00E23574"/>
    <w:rsid w:val="00E33B3A"/>
    <w:rsid w:val="00E33C1D"/>
    <w:rsid w:val="00E41D6A"/>
    <w:rsid w:val="00E4338B"/>
    <w:rsid w:val="00E43AA9"/>
    <w:rsid w:val="00E43CA6"/>
    <w:rsid w:val="00E460C7"/>
    <w:rsid w:val="00E46AE3"/>
    <w:rsid w:val="00E47AD2"/>
    <w:rsid w:val="00E501E4"/>
    <w:rsid w:val="00E54706"/>
    <w:rsid w:val="00E55EAF"/>
    <w:rsid w:val="00E5795B"/>
    <w:rsid w:val="00E66177"/>
    <w:rsid w:val="00E70330"/>
    <w:rsid w:val="00E72841"/>
    <w:rsid w:val="00E73718"/>
    <w:rsid w:val="00E81427"/>
    <w:rsid w:val="00E8323A"/>
    <w:rsid w:val="00E835DD"/>
    <w:rsid w:val="00E84B36"/>
    <w:rsid w:val="00E859DB"/>
    <w:rsid w:val="00E8701B"/>
    <w:rsid w:val="00E9011F"/>
    <w:rsid w:val="00E95081"/>
    <w:rsid w:val="00E96705"/>
    <w:rsid w:val="00EA44EE"/>
    <w:rsid w:val="00EA4D33"/>
    <w:rsid w:val="00EA673D"/>
    <w:rsid w:val="00EA67A2"/>
    <w:rsid w:val="00EB1A2B"/>
    <w:rsid w:val="00EB2A7E"/>
    <w:rsid w:val="00EB37FF"/>
    <w:rsid w:val="00EB663D"/>
    <w:rsid w:val="00EC2A5C"/>
    <w:rsid w:val="00EC60C4"/>
    <w:rsid w:val="00ED0DC6"/>
    <w:rsid w:val="00ED2253"/>
    <w:rsid w:val="00ED6CEC"/>
    <w:rsid w:val="00EE0E8E"/>
    <w:rsid w:val="00EE42CA"/>
    <w:rsid w:val="00EE523E"/>
    <w:rsid w:val="00EE53CB"/>
    <w:rsid w:val="00EF067E"/>
    <w:rsid w:val="00EF2FB3"/>
    <w:rsid w:val="00EF475C"/>
    <w:rsid w:val="00EF57F3"/>
    <w:rsid w:val="00EF5B84"/>
    <w:rsid w:val="00EF7CEB"/>
    <w:rsid w:val="00F02E56"/>
    <w:rsid w:val="00F172B9"/>
    <w:rsid w:val="00F2221A"/>
    <w:rsid w:val="00F23791"/>
    <w:rsid w:val="00F2466E"/>
    <w:rsid w:val="00F31982"/>
    <w:rsid w:val="00F36935"/>
    <w:rsid w:val="00F42146"/>
    <w:rsid w:val="00F451C2"/>
    <w:rsid w:val="00F45CDA"/>
    <w:rsid w:val="00F46DC2"/>
    <w:rsid w:val="00F46E11"/>
    <w:rsid w:val="00F501A8"/>
    <w:rsid w:val="00F5351B"/>
    <w:rsid w:val="00F5494A"/>
    <w:rsid w:val="00F579E5"/>
    <w:rsid w:val="00F6271C"/>
    <w:rsid w:val="00F666D5"/>
    <w:rsid w:val="00F67461"/>
    <w:rsid w:val="00F70BEB"/>
    <w:rsid w:val="00F71B0E"/>
    <w:rsid w:val="00F764BC"/>
    <w:rsid w:val="00F76F60"/>
    <w:rsid w:val="00F8057A"/>
    <w:rsid w:val="00F86CA7"/>
    <w:rsid w:val="00F870AA"/>
    <w:rsid w:val="00F933AF"/>
    <w:rsid w:val="00F948B8"/>
    <w:rsid w:val="00F96060"/>
    <w:rsid w:val="00FB03D8"/>
    <w:rsid w:val="00FB208D"/>
    <w:rsid w:val="00FB70E6"/>
    <w:rsid w:val="00FB7830"/>
    <w:rsid w:val="00FC1B53"/>
    <w:rsid w:val="00FC29DE"/>
    <w:rsid w:val="00FC30CD"/>
    <w:rsid w:val="00FD2DE4"/>
    <w:rsid w:val="00FE0763"/>
    <w:rsid w:val="00FE4C1D"/>
    <w:rsid w:val="00FE6D1E"/>
    <w:rsid w:val="00FE6E88"/>
    <w:rsid w:val="00FE7E47"/>
    <w:rsid w:val="00FF282F"/>
    <w:rsid w:val="00FF3130"/>
    <w:rsid w:val="00FF4B5A"/>
    <w:rsid w:val="0162268E"/>
    <w:rsid w:val="01764F01"/>
    <w:rsid w:val="01806EBE"/>
    <w:rsid w:val="01821D40"/>
    <w:rsid w:val="019E7B42"/>
    <w:rsid w:val="01E272AD"/>
    <w:rsid w:val="02017862"/>
    <w:rsid w:val="021F25D5"/>
    <w:rsid w:val="02302A89"/>
    <w:rsid w:val="0244197C"/>
    <w:rsid w:val="024D6B6A"/>
    <w:rsid w:val="02746B1B"/>
    <w:rsid w:val="02902653"/>
    <w:rsid w:val="029B04E7"/>
    <w:rsid w:val="02B840D2"/>
    <w:rsid w:val="02FA5057"/>
    <w:rsid w:val="03031A74"/>
    <w:rsid w:val="03073BDC"/>
    <w:rsid w:val="03311BC3"/>
    <w:rsid w:val="033F44DC"/>
    <w:rsid w:val="037E73B4"/>
    <w:rsid w:val="03C442F7"/>
    <w:rsid w:val="03D63717"/>
    <w:rsid w:val="04337C85"/>
    <w:rsid w:val="044A7990"/>
    <w:rsid w:val="046645D4"/>
    <w:rsid w:val="046945F1"/>
    <w:rsid w:val="0488378F"/>
    <w:rsid w:val="051D4D0F"/>
    <w:rsid w:val="0555228E"/>
    <w:rsid w:val="05562852"/>
    <w:rsid w:val="059D1E39"/>
    <w:rsid w:val="05E048AC"/>
    <w:rsid w:val="05E078B3"/>
    <w:rsid w:val="05F670D0"/>
    <w:rsid w:val="05FF2629"/>
    <w:rsid w:val="060C2C70"/>
    <w:rsid w:val="061807E6"/>
    <w:rsid w:val="06327940"/>
    <w:rsid w:val="06F922F6"/>
    <w:rsid w:val="073B4389"/>
    <w:rsid w:val="076047F4"/>
    <w:rsid w:val="07795C70"/>
    <w:rsid w:val="077D0583"/>
    <w:rsid w:val="079724D0"/>
    <w:rsid w:val="07A76D75"/>
    <w:rsid w:val="07CC5EFA"/>
    <w:rsid w:val="07F611EA"/>
    <w:rsid w:val="080A41FF"/>
    <w:rsid w:val="082A352F"/>
    <w:rsid w:val="08543CCE"/>
    <w:rsid w:val="08834034"/>
    <w:rsid w:val="08893576"/>
    <w:rsid w:val="08923AEB"/>
    <w:rsid w:val="08A66196"/>
    <w:rsid w:val="08C349D1"/>
    <w:rsid w:val="08EC191F"/>
    <w:rsid w:val="090F570F"/>
    <w:rsid w:val="0920753B"/>
    <w:rsid w:val="096A671F"/>
    <w:rsid w:val="09875ACE"/>
    <w:rsid w:val="09AC4B87"/>
    <w:rsid w:val="09CB6C73"/>
    <w:rsid w:val="09D33FF1"/>
    <w:rsid w:val="09F67CD5"/>
    <w:rsid w:val="0A19054B"/>
    <w:rsid w:val="0A3F5639"/>
    <w:rsid w:val="0A4671A2"/>
    <w:rsid w:val="0A4962DE"/>
    <w:rsid w:val="0A8843F7"/>
    <w:rsid w:val="0AB83E03"/>
    <w:rsid w:val="0ACF2158"/>
    <w:rsid w:val="0B1A6D5B"/>
    <w:rsid w:val="0B440070"/>
    <w:rsid w:val="0B9E71DF"/>
    <w:rsid w:val="0BA4714B"/>
    <w:rsid w:val="0BF227FB"/>
    <w:rsid w:val="0BFF4CF2"/>
    <w:rsid w:val="0C016E53"/>
    <w:rsid w:val="0C04381F"/>
    <w:rsid w:val="0C22258B"/>
    <w:rsid w:val="0C230FA7"/>
    <w:rsid w:val="0C6178D1"/>
    <w:rsid w:val="0C646FA9"/>
    <w:rsid w:val="0C9C0182"/>
    <w:rsid w:val="0C9D30C2"/>
    <w:rsid w:val="0CBE2608"/>
    <w:rsid w:val="0D3676EE"/>
    <w:rsid w:val="0D573858"/>
    <w:rsid w:val="0D63214B"/>
    <w:rsid w:val="0D7C6276"/>
    <w:rsid w:val="0D7F5CE1"/>
    <w:rsid w:val="0D8C60C9"/>
    <w:rsid w:val="0D9D65F4"/>
    <w:rsid w:val="0DC62ED7"/>
    <w:rsid w:val="0E0350FB"/>
    <w:rsid w:val="0E172BD0"/>
    <w:rsid w:val="0E37382F"/>
    <w:rsid w:val="0E643DD5"/>
    <w:rsid w:val="0E987834"/>
    <w:rsid w:val="0EDB2038"/>
    <w:rsid w:val="0EEE55ED"/>
    <w:rsid w:val="0F520519"/>
    <w:rsid w:val="0F5C2E50"/>
    <w:rsid w:val="0F6E784F"/>
    <w:rsid w:val="0F9C54A4"/>
    <w:rsid w:val="0FF107C9"/>
    <w:rsid w:val="0FFF33A1"/>
    <w:rsid w:val="101972D2"/>
    <w:rsid w:val="10425A9C"/>
    <w:rsid w:val="10880B98"/>
    <w:rsid w:val="10A50104"/>
    <w:rsid w:val="10BF1266"/>
    <w:rsid w:val="10EF2D3F"/>
    <w:rsid w:val="10FB4967"/>
    <w:rsid w:val="115B3410"/>
    <w:rsid w:val="1196212B"/>
    <w:rsid w:val="11990105"/>
    <w:rsid w:val="119D7849"/>
    <w:rsid w:val="11E750ED"/>
    <w:rsid w:val="11E84F22"/>
    <w:rsid w:val="11F472C8"/>
    <w:rsid w:val="1237609D"/>
    <w:rsid w:val="1242135C"/>
    <w:rsid w:val="125213B1"/>
    <w:rsid w:val="12635BD9"/>
    <w:rsid w:val="126B73F5"/>
    <w:rsid w:val="127D04AC"/>
    <w:rsid w:val="12E12426"/>
    <w:rsid w:val="12FF0599"/>
    <w:rsid w:val="13351C76"/>
    <w:rsid w:val="133C2551"/>
    <w:rsid w:val="134941FA"/>
    <w:rsid w:val="13557CF4"/>
    <w:rsid w:val="13A1683F"/>
    <w:rsid w:val="13D56EC2"/>
    <w:rsid w:val="13D67B20"/>
    <w:rsid w:val="141E28FF"/>
    <w:rsid w:val="14275621"/>
    <w:rsid w:val="143F0EB7"/>
    <w:rsid w:val="146D1A81"/>
    <w:rsid w:val="14A611A1"/>
    <w:rsid w:val="14A960A7"/>
    <w:rsid w:val="14C76F24"/>
    <w:rsid w:val="14DA3DA1"/>
    <w:rsid w:val="14FC129F"/>
    <w:rsid w:val="150560EA"/>
    <w:rsid w:val="153617EC"/>
    <w:rsid w:val="15520F9A"/>
    <w:rsid w:val="159D13FA"/>
    <w:rsid w:val="15A970FA"/>
    <w:rsid w:val="15B90674"/>
    <w:rsid w:val="15CB7C48"/>
    <w:rsid w:val="15D0291F"/>
    <w:rsid w:val="15F9280F"/>
    <w:rsid w:val="16310E11"/>
    <w:rsid w:val="16AB6BE0"/>
    <w:rsid w:val="16D92122"/>
    <w:rsid w:val="16EE1086"/>
    <w:rsid w:val="16F26E3A"/>
    <w:rsid w:val="170267E5"/>
    <w:rsid w:val="17155857"/>
    <w:rsid w:val="17167C71"/>
    <w:rsid w:val="173D27D1"/>
    <w:rsid w:val="174272A3"/>
    <w:rsid w:val="1746738F"/>
    <w:rsid w:val="176168BA"/>
    <w:rsid w:val="1790325F"/>
    <w:rsid w:val="17950508"/>
    <w:rsid w:val="18333EFD"/>
    <w:rsid w:val="18401769"/>
    <w:rsid w:val="189368EB"/>
    <w:rsid w:val="189E399C"/>
    <w:rsid w:val="18CC521F"/>
    <w:rsid w:val="19010C43"/>
    <w:rsid w:val="19084C73"/>
    <w:rsid w:val="190C2C4F"/>
    <w:rsid w:val="19807130"/>
    <w:rsid w:val="19B37A8F"/>
    <w:rsid w:val="19DA12A0"/>
    <w:rsid w:val="1A054259"/>
    <w:rsid w:val="1A1B15EA"/>
    <w:rsid w:val="1A1F669B"/>
    <w:rsid w:val="1A326D68"/>
    <w:rsid w:val="1A434CD9"/>
    <w:rsid w:val="1A5A1732"/>
    <w:rsid w:val="1A91314F"/>
    <w:rsid w:val="1AE936D5"/>
    <w:rsid w:val="1AEE1287"/>
    <w:rsid w:val="1AF45DC3"/>
    <w:rsid w:val="1B0921E7"/>
    <w:rsid w:val="1B3E6EBA"/>
    <w:rsid w:val="1B6F5CEB"/>
    <w:rsid w:val="1B7C654F"/>
    <w:rsid w:val="1B7F6005"/>
    <w:rsid w:val="1B845B1C"/>
    <w:rsid w:val="1B9A4111"/>
    <w:rsid w:val="1BA572AF"/>
    <w:rsid w:val="1C132CB9"/>
    <w:rsid w:val="1C1F3484"/>
    <w:rsid w:val="1C975AA3"/>
    <w:rsid w:val="1C9F5AD2"/>
    <w:rsid w:val="1CCC26CA"/>
    <w:rsid w:val="1CFA4EEC"/>
    <w:rsid w:val="1D1B0C4B"/>
    <w:rsid w:val="1D64726C"/>
    <w:rsid w:val="1D760B18"/>
    <w:rsid w:val="1DB44757"/>
    <w:rsid w:val="1DC54AE8"/>
    <w:rsid w:val="1DF1427E"/>
    <w:rsid w:val="1E054D0E"/>
    <w:rsid w:val="1E7A20D5"/>
    <w:rsid w:val="1E821251"/>
    <w:rsid w:val="1E9D6342"/>
    <w:rsid w:val="1EE233C0"/>
    <w:rsid w:val="1EF22452"/>
    <w:rsid w:val="1F224C70"/>
    <w:rsid w:val="1F4271B7"/>
    <w:rsid w:val="1F666A53"/>
    <w:rsid w:val="202230E0"/>
    <w:rsid w:val="20497C98"/>
    <w:rsid w:val="204E6676"/>
    <w:rsid w:val="205F0395"/>
    <w:rsid w:val="20D05D17"/>
    <w:rsid w:val="20D56133"/>
    <w:rsid w:val="20DD53B2"/>
    <w:rsid w:val="20F1537D"/>
    <w:rsid w:val="21265F0B"/>
    <w:rsid w:val="2195668B"/>
    <w:rsid w:val="21B86282"/>
    <w:rsid w:val="21BE5AD4"/>
    <w:rsid w:val="21C74CE9"/>
    <w:rsid w:val="222665F0"/>
    <w:rsid w:val="223C5E24"/>
    <w:rsid w:val="223D2CF2"/>
    <w:rsid w:val="229627F6"/>
    <w:rsid w:val="22BD13C5"/>
    <w:rsid w:val="22BD280A"/>
    <w:rsid w:val="22E153D2"/>
    <w:rsid w:val="23057533"/>
    <w:rsid w:val="23081A49"/>
    <w:rsid w:val="234D6A37"/>
    <w:rsid w:val="23500484"/>
    <w:rsid w:val="23564010"/>
    <w:rsid w:val="23A1186E"/>
    <w:rsid w:val="23C16DF2"/>
    <w:rsid w:val="241B6BAA"/>
    <w:rsid w:val="245C52F8"/>
    <w:rsid w:val="2463385E"/>
    <w:rsid w:val="248B1259"/>
    <w:rsid w:val="24A43DF9"/>
    <w:rsid w:val="24B13BE0"/>
    <w:rsid w:val="24E62C91"/>
    <w:rsid w:val="24F63303"/>
    <w:rsid w:val="250D568B"/>
    <w:rsid w:val="25134332"/>
    <w:rsid w:val="252A18F3"/>
    <w:rsid w:val="25320B04"/>
    <w:rsid w:val="25511587"/>
    <w:rsid w:val="255408E8"/>
    <w:rsid w:val="257A78CA"/>
    <w:rsid w:val="257E508F"/>
    <w:rsid w:val="259126C6"/>
    <w:rsid w:val="261D70A2"/>
    <w:rsid w:val="262C0241"/>
    <w:rsid w:val="26663242"/>
    <w:rsid w:val="26BF5712"/>
    <w:rsid w:val="27375F2C"/>
    <w:rsid w:val="273C2932"/>
    <w:rsid w:val="27490038"/>
    <w:rsid w:val="27724843"/>
    <w:rsid w:val="278E1479"/>
    <w:rsid w:val="27AB7429"/>
    <w:rsid w:val="27AF7580"/>
    <w:rsid w:val="27CE5226"/>
    <w:rsid w:val="27D932C2"/>
    <w:rsid w:val="27FE52D9"/>
    <w:rsid w:val="280F0C97"/>
    <w:rsid w:val="2849651C"/>
    <w:rsid w:val="285C053E"/>
    <w:rsid w:val="285D5D1E"/>
    <w:rsid w:val="287A4F60"/>
    <w:rsid w:val="28E200A7"/>
    <w:rsid w:val="28FC6167"/>
    <w:rsid w:val="290E0E8F"/>
    <w:rsid w:val="2956221E"/>
    <w:rsid w:val="299D434A"/>
    <w:rsid w:val="29B9564D"/>
    <w:rsid w:val="29C46E1A"/>
    <w:rsid w:val="29FA0993"/>
    <w:rsid w:val="29FA7F26"/>
    <w:rsid w:val="2A2B2A36"/>
    <w:rsid w:val="2A94606B"/>
    <w:rsid w:val="2AC13463"/>
    <w:rsid w:val="2AFA4093"/>
    <w:rsid w:val="2B1C77FE"/>
    <w:rsid w:val="2B491AEB"/>
    <w:rsid w:val="2B54094E"/>
    <w:rsid w:val="2B7125A5"/>
    <w:rsid w:val="2B774832"/>
    <w:rsid w:val="2BC12DE4"/>
    <w:rsid w:val="2BC90088"/>
    <w:rsid w:val="2BD36767"/>
    <w:rsid w:val="2C045722"/>
    <w:rsid w:val="2C366CE2"/>
    <w:rsid w:val="2C8E5D3A"/>
    <w:rsid w:val="2CF5745B"/>
    <w:rsid w:val="2D1A3A5D"/>
    <w:rsid w:val="2D5B5F1D"/>
    <w:rsid w:val="2D996659"/>
    <w:rsid w:val="2DB5169A"/>
    <w:rsid w:val="2DF562D2"/>
    <w:rsid w:val="2DFC15F9"/>
    <w:rsid w:val="2E063913"/>
    <w:rsid w:val="2E1B16DF"/>
    <w:rsid w:val="2E1B5BB0"/>
    <w:rsid w:val="2E2A61D4"/>
    <w:rsid w:val="2E5E4C56"/>
    <w:rsid w:val="2E6A6550"/>
    <w:rsid w:val="2E6B2230"/>
    <w:rsid w:val="2EC0464C"/>
    <w:rsid w:val="2EDC1478"/>
    <w:rsid w:val="2EFA72E5"/>
    <w:rsid w:val="2F1251F2"/>
    <w:rsid w:val="2F2A7234"/>
    <w:rsid w:val="2F35349B"/>
    <w:rsid w:val="2F372120"/>
    <w:rsid w:val="2FBE2186"/>
    <w:rsid w:val="2FD05F2D"/>
    <w:rsid w:val="2FDC1405"/>
    <w:rsid w:val="30225B56"/>
    <w:rsid w:val="302E6DD4"/>
    <w:rsid w:val="30490358"/>
    <w:rsid w:val="305A32AA"/>
    <w:rsid w:val="30961E74"/>
    <w:rsid w:val="30962F3E"/>
    <w:rsid w:val="30C951F5"/>
    <w:rsid w:val="30D17E68"/>
    <w:rsid w:val="30FF2795"/>
    <w:rsid w:val="311E66E9"/>
    <w:rsid w:val="31246B73"/>
    <w:rsid w:val="312756C9"/>
    <w:rsid w:val="316D28CA"/>
    <w:rsid w:val="3172592F"/>
    <w:rsid w:val="31BE27EA"/>
    <w:rsid w:val="31F74610"/>
    <w:rsid w:val="32105575"/>
    <w:rsid w:val="329A6ACE"/>
    <w:rsid w:val="32B16A50"/>
    <w:rsid w:val="32E37353"/>
    <w:rsid w:val="33A40578"/>
    <w:rsid w:val="33AD5627"/>
    <w:rsid w:val="33B43C81"/>
    <w:rsid w:val="33DF2991"/>
    <w:rsid w:val="33F02A6C"/>
    <w:rsid w:val="34177D64"/>
    <w:rsid w:val="351B5837"/>
    <w:rsid w:val="353C5180"/>
    <w:rsid w:val="35446D2B"/>
    <w:rsid w:val="356E7F9C"/>
    <w:rsid w:val="35782E8F"/>
    <w:rsid w:val="358D329B"/>
    <w:rsid w:val="35D248A8"/>
    <w:rsid w:val="35E90938"/>
    <w:rsid w:val="360B1D73"/>
    <w:rsid w:val="361F3323"/>
    <w:rsid w:val="362C110C"/>
    <w:rsid w:val="36316013"/>
    <w:rsid w:val="36815E41"/>
    <w:rsid w:val="36B06EC2"/>
    <w:rsid w:val="36DA5FAA"/>
    <w:rsid w:val="36E93760"/>
    <w:rsid w:val="37317445"/>
    <w:rsid w:val="373B6D0E"/>
    <w:rsid w:val="3768478E"/>
    <w:rsid w:val="3784394E"/>
    <w:rsid w:val="37AE66EA"/>
    <w:rsid w:val="37E36FA8"/>
    <w:rsid w:val="38005CE8"/>
    <w:rsid w:val="3802434D"/>
    <w:rsid w:val="38440651"/>
    <w:rsid w:val="38822905"/>
    <w:rsid w:val="38861AEC"/>
    <w:rsid w:val="3892196A"/>
    <w:rsid w:val="38956BB4"/>
    <w:rsid w:val="389C0089"/>
    <w:rsid w:val="38AA5E32"/>
    <w:rsid w:val="38AE3BB0"/>
    <w:rsid w:val="38AF2A4C"/>
    <w:rsid w:val="390137D4"/>
    <w:rsid w:val="39214A87"/>
    <w:rsid w:val="39434124"/>
    <w:rsid w:val="399449B5"/>
    <w:rsid w:val="3A1F3789"/>
    <w:rsid w:val="3A2025F3"/>
    <w:rsid w:val="3A7D2422"/>
    <w:rsid w:val="3ACB5746"/>
    <w:rsid w:val="3AE82784"/>
    <w:rsid w:val="3B0C5E6C"/>
    <w:rsid w:val="3B406263"/>
    <w:rsid w:val="3BA34642"/>
    <w:rsid w:val="3BA77F86"/>
    <w:rsid w:val="3BA86CCD"/>
    <w:rsid w:val="3BB20883"/>
    <w:rsid w:val="3BB4096A"/>
    <w:rsid w:val="3BBD68FC"/>
    <w:rsid w:val="3C476638"/>
    <w:rsid w:val="3C484781"/>
    <w:rsid w:val="3CE8299B"/>
    <w:rsid w:val="3D0E527F"/>
    <w:rsid w:val="3D163605"/>
    <w:rsid w:val="3D560D8F"/>
    <w:rsid w:val="3D684388"/>
    <w:rsid w:val="3D962CB3"/>
    <w:rsid w:val="3DA8275C"/>
    <w:rsid w:val="3DD42738"/>
    <w:rsid w:val="3DDB5F69"/>
    <w:rsid w:val="3E441C7D"/>
    <w:rsid w:val="3E4B563E"/>
    <w:rsid w:val="3E712EDD"/>
    <w:rsid w:val="3ED3498D"/>
    <w:rsid w:val="3ED46491"/>
    <w:rsid w:val="3EF61D38"/>
    <w:rsid w:val="3F5D7F81"/>
    <w:rsid w:val="3FA035D3"/>
    <w:rsid w:val="3FA0584F"/>
    <w:rsid w:val="3FAF659D"/>
    <w:rsid w:val="3FC956FF"/>
    <w:rsid w:val="3FCB701F"/>
    <w:rsid w:val="3FF830EB"/>
    <w:rsid w:val="3FFC6459"/>
    <w:rsid w:val="401C1500"/>
    <w:rsid w:val="402541EA"/>
    <w:rsid w:val="403A56AF"/>
    <w:rsid w:val="403D62BF"/>
    <w:rsid w:val="407C1043"/>
    <w:rsid w:val="409604E3"/>
    <w:rsid w:val="40A36A71"/>
    <w:rsid w:val="40B91094"/>
    <w:rsid w:val="40BA670C"/>
    <w:rsid w:val="40F471D1"/>
    <w:rsid w:val="410E4736"/>
    <w:rsid w:val="41531A8A"/>
    <w:rsid w:val="41536549"/>
    <w:rsid w:val="41704976"/>
    <w:rsid w:val="4172680A"/>
    <w:rsid w:val="41796F79"/>
    <w:rsid w:val="41D3631F"/>
    <w:rsid w:val="41F466FD"/>
    <w:rsid w:val="41F81764"/>
    <w:rsid w:val="42250D3B"/>
    <w:rsid w:val="422763BC"/>
    <w:rsid w:val="4228368E"/>
    <w:rsid w:val="4232402D"/>
    <w:rsid w:val="42765472"/>
    <w:rsid w:val="427F677D"/>
    <w:rsid w:val="429452EC"/>
    <w:rsid w:val="42A67A24"/>
    <w:rsid w:val="42D846B9"/>
    <w:rsid w:val="431D0FE3"/>
    <w:rsid w:val="431F4804"/>
    <w:rsid w:val="43224915"/>
    <w:rsid w:val="43906DB5"/>
    <w:rsid w:val="43A27C2D"/>
    <w:rsid w:val="43AD1E58"/>
    <w:rsid w:val="43B5610A"/>
    <w:rsid w:val="43BA166B"/>
    <w:rsid w:val="43C9140E"/>
    <w:rsid w:val="440A3289"/>
    <w:rsid w:val="440D5045"/>
    <w:rsid w:val="44356F6B"/>
    <w:rsid w:val="445C736C"/>
    <w:rsid w:val="446C5B6C"/>
    <w:rsid w:val="44AC68E9"/>
    <w:rsid w:val="45153C9D"/>
    <w:rsid w:val="4520004C"/>
    <w:rsid w:val="45232A77"/>
    <w:rsid w:val="457A59E3"/>
    <w:rsid w:val="45A35B46"/>
    <w:rsid w:val="45BE6191"/>
    <w:rsid w:val="45F939A7"/>
    <w:rsid w:val="460C5979"/>
    <w:rsid w:val="462309DF"/>
    <w:rsid w:val="46234CBC"/>
    <w:rsid w:val="467F7005"/>
    <w:rsid w:val="46B04E8F"/>
    <w:rsid w:val="46C43BF4"/>
    <w:rsid w:val="46D65D1F"/>
    <w:rsid w:val="46E01F41"/>
    <w:rsid w:val="46E43AEF"/>
    <w:rsid w:val="46ED7579"/>
    <w:rsid w:val="47524A62"/>
    <w:rsid w:val="475F0EF8"/>
    <w:rsid w:val="477763D8"/>
    <w:rsid w:val="477A5042"/>
    <w:rsid w:val="47835694"/>
    <w:rsid w:val="47C01792"/>
    <w:rsid w:val="47D16838"/>
    <w:rsid w:val="47FD3E9F"/>
    <w:rsid w:val="4808150F"/>
    <w:rsid w:val="48315546"/>
    <w:rsid w:val="485608D1"/>
    <w:rsid w:val="48691C6A"/>
    <w:rsid w:val="48B87D37"/>
    <w:rsid w:val="48D86550"/>
    <w:rsid w:val="48F92E9A"/>
    <w:rsid w:val="49251A7F"/>
    <w:rsid w:val="494906E8"/>
    <w:rsid w:val="498D7F46"/>
    <w:rsid w:val="499D4EE8"/>
    <w:rsid w:val="49D0581A"/>
    <w:rsid w:val="49E9233D"/>
    <w:rsid w:val="49F15511"/>
    <w:rsid w:val="4A0869A3"/>
    <w:rsid w:val="4A1827CD"/>
    <w:rsid w:val="4A1C50BF"/>
    <w:rsid w:val="4A4A0C44"/>
    <w:rsid w:val="4AAD1944"/>
    <w:rsid w:val="4AC31003"/>
    <w:rsid w:val="4AE93159"/>
    <w:rsid w:val="4AF06A4D"/>
    <w:rsid w:val="4B024EAF"/>
    <w:rsid w:val="4B4878A9"/>
    <w:rsid w:val="4B694536"/>
    <w:rsid w:val="4B6D4F17"/>
    <w:rsid w:val="4BB74F02"/>
    <w:rsid w:val="4BBF11D3"/>
    <w:rsid w:val="4BC858F2"/>
    <w:rsid w:val="4BCF0D7E"/>
    <w:rsid w:val="4BD0339A"/>
    <w:rsid w:val="4BEA3C9D"/>
    <w:rsid w:val="4C010BE9"/>
    <w:rsid w:val="4C195B6C"/>
    <w:rsid w:val="4C8E4174"/>
    <w:rsid w:val="4CDE1BDC"/>
    <w:rsid w:val="4CDF3441"/>
    <w:rsid w:val="4CF32AFE"/>
    <w:rsid w:val="4D02362A"/>
    <w:rsid w:val="4D3B6330"/>
    <w:rsid w:val="4D454781"/>
    <w:rsid w:val="4D462159"/>
    <w:rsid w:val="4D5B4C04"/>
    <w:rsid w:val="4D5C5FAC"/>
    <w:rsid w:val="4D5F0AB9"/>
    <w:rsid w:val="4D862DF4"/>
    <w:rsid w:val="4D8C06EE"/>
    <w:rsid w:val="4DC605B6"/>
    <w:rsid w:val="4DEC0985"/>
    <w:rsid w:val="4DFA595C"/>
    <w:rsid w:val="4E0F7883"/>
    <w:rsid w:val="4E180839"/>
    <w:rsid w:val="4E1A2FE0"/>
    <w:rsid w:val="4E27683A"/>
    <w:rsid w:val="4E4E0A38"/>
    <w:rsid w:val="4E56246A"/>
    <w:rsid w:val="4E7B40D1"/>
    <w:rsid w:val="4E8F338F"/>
    <w:rsid w:val="4EE70088"/>
    <w:rsid w:val="4F134476"/>
    <w:rsid w:val="4F2765B1"/>
    <w:rsid w:val="4F285975"/>
    <w:rsid w:val="4FBF600B"/>
    <w:rsid w:val="4FE43051"/>
    <w:rsid w:val="506A451E"/>
    <w:rsid w:val="50A552B0"/>
    <w:rsid w:val="50AA763B"/>
    <w:rsid w:val="50B44F11"/>
    <w:rsid w:val="50F40ED7"/>
    <w:rsid w:val="50FF3B3F"/>
    <w:rsid w:val="513A2E0E"/>
    <w:rsid w:val="513B48C5"/>
    <w:rsid w:val="514A137E"/>
    <w:rsid w:val="51796EDE"/>
    <w:rsid w:val="51867298"/>
    <w:rsid w:val="52195EDF"/>
    <w:rsid w:val="52313387"/>
    <w:rsid w:val="5266080A"/>
    <w:rsid w:val="52787113"/>
    <w:rsid w:val="529D554C"/>
    <w:rsid w:val="52A85BBA"/>
    <w:rsid w:val="52C240A5"/>
    <w:rsid w:val="52E04D27"/>
    <w:rsid w:val="52E8266A"/>
    <w:rsid w:val="52F37F64"/>
    <w:rsid w:val="52F6383C"/>
    <w:rsid w:val="531350EC"/>
    <w:rsid w:val="5331262A"/>
    <w:rsid w:val="539A390F"/>
    <w:rsid w:val="53B03A38"/>
    <w:rsid w:val="53DB3477"/>
    <w:rsid w:val="53FB75D1"/>
    <w:rsid w:val="547F17FE"/>
    <w:rsid w:val="54A2461C"/>
    <w:rsid w:val="54AF6B42"/>
    <w:rsid w:val="54F273DE"/>
    <w:rsid w:val="552A2DDC"/>
    <w:rsid w:val="55C57CB4"/>
    <w:rsid w:val="55CA1D06"/>
    <w:rsid w:val="55DD69B0"/>
    <w:rsid w:val="55DD6F2A"/>
    <w:rsid w:val="55E40B44"/>
    <w:rsid w:val="5615403F"/>
    <w:rsid w:val="563C5CFC"/>
    <w:rsid w:val="565A0AF1"/>
    <w:rsid w:val="566775C3"/>
    <w:rsid w:val="566A4470"/>
    <w:rsid w:val="56933A82"/>
    <w:rsid w:val="56BE7685"/>
    <w:rsid w:val="56CA6580"/>
    <w:rsid w:val="56DC481A"/>
    <w:rsid w:val="56E23970"/>
    <w:rsid w:val="57353718"/>
    <w:rsid w:val="57497261"/>
    <w:rsid w:val="575D70A1"/>
    <w:rsid w:val="577465BE"/>
    <w:rsid w:val="577A3C7D"/>
    <w:rsid w:val="578F220A"/>
    <w:rsid w:val="57A07D15"/>
    <w:rsid w:val="57B2356A"/>
    <w:rsid w:val="57C84314"/>
    <w:rsid w:val="57E34847"/>
    <w:rsid w:val="57EB75F9"/>
    <w:rsid w:val="57FC07D9"/>
    <w:rsid w:val="57FE2A7E"/>
    <w:rsid w:val="5804517D"/>
    <w:rsid w:val="582519C6"/>
    <w:rsid w:val="584F05C2"/>
    <w:rsid w:val="58500F22"/>
    <w:rsid w:val="5885222F"/>
    <w:rsid w:val="589B0314"/>
    <w:rsid w:val="589E6A7F"/>
    <w:rsid w:val="58A81445"/>
    <w:rsid w:val="58AE7E93"/>
    <w:rsid w:val="58C06E95"/>
    <w:rsid w:val="58CE3E8C"/>
    <w:rsid w:val="590A13C4"/>
    <w:rsid w:val="59194AF7"/>
    <w:rsid w:val="591C0009"/>
    <w:rsid w:val="59353CAD"/>
    <w:rsid w:val="5944025B"/>
    <w:rsid w:val="59580B4F"/>
    <w:rsid w:val="597967A3"/>
    <w:rsid w:val="5A4703FC"/>
    <w:rsid w:val="5A4A6CC6"/>
    <w:rsid w:val="5A675961"/>
    <w:rsid w:val="5ACF0F3A"/>
    <w:rsid w:val="5B26000E"/>
    <w:rsid w:val="5B5728E4"/>
    <w:rsid w:val="5B935948"/>
    <w:rsid w:val="5BAE1F5D"/>
    <w:rsid w:val="5BB92950"/>
    <w:rsid w:val="5C281531"/>
    <w:rsid w:val="5C4F07F5"/>
    <w:rsid w:val="5C50228D"/>
    <w:rsid w:val="5C6B1600"/>
    <w:rsid w:val="5C7B20EA"/>
    <w:rsid w:val="5C8E3EAC"/>
    <w:rsid w:val="5C921AD0"/>
    <w:rsid w:val="5CF8424D"/>
    <w:rsid w:val="5D1D1D6D"/>
    <w:rsid w:val="5D383447"/>
    <w:rsid w:val="5DAB1901"/>
    <w:rsid w:val="5DBD6F8D"/>
    <w:rsid w:val="5DC875B2"/>
    <w:rsid w:val="5DE31D14"/>
    <w:rsid w:val="5DFD51DB"/>
    <w:rsid w:val="5DFF3E57"/>
    <w:rsid w:val="5E0D36E5"/>
    <w:rsid w:val="5E266218"/>
    <w:rsid w:val="5E6C2CBC"/>
    <w:rsid w:val="5E7216BA"/>
    <w:rsid w:val="5ECA60C5"/>
    <w:rsid w:val="5EEE0D5C"/>
    <w:rsid w:val="5EF8348C"/>
    <w:rsid w:val="5EF86E5C"/>
    <w:rsid w:val="5F3D14BC"/>
    <w:rsid w:val="5F526966"/>
    <w:rsid w:val="5F6C6873"/>
    <w:rsid w:val="5F9D163A"/>
    <w:rsid w:val="5FA531D0"/>
    <w:rsid w:val="5FD46148"/>
    <w:rsid w:val="5FDD42FF"/>
    <w:rsid w:val="5FFB3967"/>
    <w:rsid w:val="601E1F04"/>
    <w:rsid w:val="607C3753"/>
    <w:rsid w:val="60AE6C2B"/>
    <w:rsid w:val="60B46AC6"/>
    <w:rsid w:val="60C30855"/>
    <w:rsid w:val="60E80146"/>
    <w:rsid w:val="61163A2F"/>
    <w:rsid w:val="613D7EC0"/>
    <w:rsid w:val="6140534A"/>
    <w:rsid w:val="61421EFD"/>
    <w:rsid w:val="615C5041"/>
    <w:rsid w:val="61CC6993"/>
    <w:rsid w:val="61F039A5"/>
    <w:rsid w:val="62106AD8"/>
    <w:rsid w:val="622300DF"/>
    <w:rsid w:val="623F7CBD"/>
    <w:rsid w:val="62512813"/>
    <w:rsid w:val="6260440B"/>
    <w:rsid w:val="62810A4D"/>
    <w:rsid w:val="62936F9C"/>
    <w:rsid w:val="629863CD"/>
    <w:rsid w:val="629C5907"/>
    <w:rsid w:val="629D2E3D"/>
    <w:rsid w:val="62A244D9"/>
    <w:rsid w:val="62D92242"/>
    <w:rsid w:val="63072E65"/>
    <w:rsid w:val="63272110"/>
    <w:rsid w:val="632F3156"/>
    <w:rsid w:val="63723A06"/>
    <w:rsid w:val="6383615A"/>
    <w:rsid w:val="63D547D4"/>
    <w:rsid w:val="63DB4F29"/>
    <w:rsid w:val="64377972"/>
    <w:rsid w:val="645A2706"/>
    <w:rsid w:val="645A7944"/>
    <w:rsid w:val="647317E2"/>
    <w:rsid w:val="648235F5"/>
    <w:rsid w:val="64C83F8A"/>
    <w:rsid w:val="64ED71CE"/>
    <w:rsid w:val="651A0AA9"/>
    <w:rsid w:val="65353BBC"/>
    <w:rsid w:val="6541231C"/>
    <w:rsid w:val="65504DEF"/>
    <w:rsid w:val="6562260F"/>
    <w:rsid w:val="65660485"/>
    <w:rsid w:val="65706925"/>
    <w:rsid w:val="65883172"/>
    <w:rsid w:val="6611643F"/>
    <w:rsid w:val="66307C8B"/>
    <w:rsid w:val="663843DF"/>
    <w:rsid w:val="663A009D"/>
    <w:rsid w:val="66423870"/>
    <w:rsid w:val="664805B8"/>
    <w:rsid w:val="664D5322"/>
    <w:rsid w:val="667F0D18"/>
    <w:rsid w:val="66ED1024"/>
    <w:rsid w:val="66F01D4B"/>
    <w:rsid w:val="672763E9"/>
    <w:rsid w:val="67494658"/>
    <w:rsid w:val="6793100B"/>
    <w:rsid w:val="679F1AF1"/>
    <w:rsid w:val="67B64935"/>
    <w:rsid w:val="67EC6D78"/>
    <w:rsid w:val="68016742"/>
    <w:rsid w:val="68057CAE"/>
    <w:rsid w:val="685A6F3D"/>
    <w:rsid w:val="68617BBF"/>
    <w:rsid w:val="68661C6E"/>
    <w:rsid w:val="68AC2E0D"/>
    <w:rsid w:val="68B4383E"/>
    <w:rsid w:val="68DF0EA9"/>
    <w:rsid w:val="68FE2BE0"/>
    <w:rsid w:val="690F418B"/>
    <w:rsid w:val="696269EC"/>
    <w:rsid w:val="69644260"/>
    <w:rsid w:val="69765489"/>
    <w:rsid w:val="69992C12"/>
    <w:rsid w:val="699E1C3B"/>
    <w:rsid w:val="69A719B8"/>
    <w:rsid w:val="69B33D16"/>
    <w:rsid w:val="69D01FCE"/>
    <w:rsid w:val="6A0D74F0"/>
    <w:rsid w:val="6A132550"/>
    <w:rsid w:val="6A1F141B"/>
    <w:rsid w:val="6A2877AD"/>
    <w:rsid w:val="6A687837"/>
    <w:rsid w:val="6A6962B5"/>
    <w:rsid w:val="6A7A2736"/>
    <w:rsid w:val="6A7B4B9C"/>
    <w:rsid w:val="6ADA3CD5"/>
    <w:rsid w:val="6ADC224B"/>
    <w:rsid w:val="6B3D5B58"/>
    <w:rsid w:val="6BA250BA"/>
    <w:rsid w:val="6BFC2C2C"/>
    <w:rsid w:val="6BFD7102"/>
    <w:rsid w:val="6BFF3332"/>
    <w:rsid w:val="6C073E7C"/>
    <w:rsid w:val="6C7E0886"/>
    <w:rsid w:val="6C89456C"/>
    <w:rsid w:val="6CB36194"/>
    <w:rsid w:val="6CBE51B5"/>
    <w:rsid w:val="6CE91693"/>
    <w:rsid w:val="6D0D1A6A"/>
    <w:rsid w:val="6D27428F"/>
    <w:rsid w:val="6D3976DD"/>
    <w:rsid w:val="6D407EA3"/>
    <w:rsid w:val="6D4B4E07"/>
    <w:rsid w:val="6D7839E4"/>
    <w:rsid w:val="6D7C733E"/>
    <w:rsid w:val="6D817740"/>
    <w:rsid w:val="6D8F0BD8"/>
    <w:rsid w:val="6DA12E7F"/>
    <w:rsid w:val="6DB2096C"/>
    <w:rsid w:val="6DBA46D0"/>
    <w:rsid w:val="6DF15EE1"/>
    <w:rsid w:val="6E04085D"/>
    <w:rsid w:val="6E14236D"/>
    <w:rsid w:val="6E254769"/>
    <w:rsid w:val="6E5F6002"/>
    <w:rsid w:val="6E677C38"/>
    <w:rsid w:val="6E8A18B6"/>
    <w:rsid w:val="6EAB63F7"/>
    <w:rsid w:val="6EB77947"/>
    <w:rsid w:val="6EC72BB3"/>
    <w:rsid w:val="6ECC470B"/>
    <w:rsid w:val="6ED674E7"/>
    <w:rsid w:val="6ED92700"/>
    <w:rsid w:val="6F3670BF"/>
    <w:rsid w:val="6F780BB5"/>
    <w:rsid w:val="6F901B66"/>
    <w:rsid w:val="6FA629D4"/>
    <w:rsid w:val="6FB81772"/>
    <w:rsid w:val="6FBE0351"/>
    <w:rsid w:val="6FD10552"/>
    <w:rsid w:val="6FF652BC"/>
    <w:rsid w:val="70394D0B"/>
    <w:rsid w:val="70475452"/>
    <w:rsid w:val="70550A54"/>
    <w:rsid w:val="70BB2EF0"/>
    <w:rsid w:val="70C53668"/>
    <w:rsid w:val="7100698D"/>
    <w:rsid w:val="71306515"/>
    <w:rsid w:val="717036BF"/>
    <w:rsid w:val="718151AE"/>
    <w:rsid w:val="71C543A2"/>
    <w:rsid w:val="72015C4E"/>
    <w:rsid w:val="723D4DAB"/>
    <w:rsid w:val="727C5172"/>
    <w:rsid w:val="72DD5946"/>
    <w:rsid w:val="72E35FE8"/>
    <w:rsid w:val="72EA33AC"/>
    <w:rsid w:val="730977C6"/>
    <w:rsid w:val="730C5B4C"/>
    <w:rsid w:val="73200696"/>
    <w:rsid w:val="733A4D38"/>
    <w:rsid w:val="73455C21"/>
    <w:rsid w:val="738917D5"/>
    <w:rsid w:val="73AC63B2"/>
    <w:rsid w:val="73C4387B"/>
    <w:rsid w:val="73CA0FB0"/>
    <w:rsid w:val="73D425F7"/>
    <w:rsid w:val="73E23286"/>
    <w:rsid w:val="73ED61B7"/>
    <w:rsid w:val="74147546"/>
    <w:rsid w:val="741C54B9"/>
    <w:rsid w:val="7450765C"/>
    <w:rsid w:val="74991B2F"/>
    <w:rsid w:val="74A451F1"/>
    <w:rsid w:val="74EE6191"/>
    <w:rsid w:val="74FC7909"/>
    <w:rsid w:val="750874F9"/>
    <w:rsid w:val="750A2023"/>
    <w:rsid w:val="7519714D"/>
    <w:rsid w:val="75296CB8"/>
    <w:rsid w:val="75844607"/>
    <w:rsid w:val="75883240"/>
    <w:rsid w:val="759E211B"/>
    <w:rsid w:val="75CF4AA2"/>
    <w:rsid w:val="7676736A"/>
    <w:rsid w:val="768B0229"/>
    <w:rsid w:val="76933951"/>
    <w:rsid w:val="76E53AEF"/>
    <w:rsid w:val="771D661B"/>
    <w:rsid w:val="771F37BB"/>
    <w:rsid w:val="771F7714"/>
    <w:rsid w:val="7747608C"/>
    <w:rsid w:val="774F7B56"/>
    <w:rsid w:val="775E526E"/>
    <w:rsid w:val="7771071F"/>
    <w:rsid w:val="77D24F03"/>
    <w:rsid w:val="77D327F1"/>
    <w:rsid w:val="77ED04A8"/>
    <w:rsid w:val="783409E8"/>
    <w:rsid w:val="78634A72"/>
    <w:rsid w:val="786E4611"/>
    <w:rsid w:val="78782A0D"/>
    <w:rsid w:val="78C301AA"/>
    <w:rsid w:val="78EB32DE"/>
    <w:rsid w:val="792B1961"/>
    <w:rsid w:val="794A24B1"/>
    <w:rsid w:val="7989435B"/>
    <w:rsid w:val="79921278"/>
    <w:rsid w:val="7996144E"/>
    <w:rsid w:val="79A2171F"/>
    <w:rsid w:val="79A252FF"/>
    <w:rsid w:val="79C649C5"/>
    <w:rsid w:val="79D33056"/>
    <w:rsid w:val="79DC62B7"/>
    <w:rsid w:val="79FD4A76"/>
    <w:rsid w:val="7A281320"/>
    <w:rsid w:val="7A45620C"/>
    <w:rsid w:val="7A5F2B7B"/>
    <w:rsid w:val="7A725151"/>
    <w:rsid w:val="7A7F74E2"/>
    <w:rsid w:val="7ADB2BA5"/>
    <w:rsid w:val="7B17231A"/>
    <w:rsid w:val="7B1F3F12"/>
    <w:rsid w:val="7B333F7E"/>
    <w:rsid w:val="7B363CE1"/>
    <w:rsid w:val="7B3C0F9C"/>
    <w:rsid w:val="7B4E4792"/>
    <w:rsid w:val="7B606C90"/>
    <w:rsid w:val="7BA814B0"/>
    <w:rsid w:val="7BC02ECA"/>
    <w:rsid w:val="7BCD38B4"/>
    <w:rsid w:val="7BD50445"/>
    <w:rsid w:val="7C0E7008"/>
    <w:rsid w:val="7C2223F6"/>
    <w:rsid w:val="7C26369C"/>
    <w:rsid w:val="7C5671B7"/>
    <w:rsid w:val="7C9E5A24"/>
    <w:rsid w:val="7CAC00CB"/>
    <w:rsid w:val="7CC82D5C"/>
    <w:rsid w:val="7CC86FD2"/>
    <w:rsid w:val="7CDE5FED"/>
    <w:rsid w:val="7D156487"/>
    <w:rsid w:val="7D18153F"/>
    <w:rsid w:val="7D2B247E"/>
    <w:rsid w:val="7D3A532C"/>
    <w:rsid w:val="7D4B0109"/>
    <w:rsid w:val="7D575412"/>
    <w:rsid w:val="7D62117D"/>
    <w:rsid w:val="7D764B27"/>
    <w:rsid w:val="7D833A66"/>
    <w:rsid w:val="7DA93378"/>
    <w:rsid w:val="7DB54254"/>
    <w:rsid w:val="7DDD3E14"/>
    <w:rsid w:val="7E163F6B"/>
    <w:rsid w:val="7E3E1EF2"/>
    <w:rsid w:val="7E627F72"/>
    <w:rsid w:val="7E951513"/>
    <w:rsid w:val="7EA653FC"/>
    <w:rsid w:val="7EB9483C"/>
    <w:rsid w:val="7EF50482"/>
    <w:rsid w:val="7EF74FC9"/>
    <w:rsid w:val="7F056EE2"/>
    <w:rsid w:val="7F1B335C"/>
    <w:rsid w:val="7F37349D"/>
    <w:rsid w:val="7F4E5916"/>
    <w:rsid w:val="7F8001ED"/>
    <w:rsid w:val="7F882E38"/>
    <w:rsid w:val="7FB12063"/>
    <w:rsid w:val="7FBE2EA5"/>
    <w:rsid w:val="7FBF642C"/>
    <w:rsid w:val="7FCF64C5"/>
    <w:rsid w:val="7FDA1FDC"/>
    <w:rsid w:val="7FF314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99" w:name="toc 2"/>
    <w:lsdException w:qFormat="1" w:uiPriority="9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name="annotation text"/>
    <w:lsdException w:qFormat="1" w:unhideWhenUsed="0" w:uiPriority="0" w:name="header"/>
    <w:lsdException w:qFormat="1" w:uiPriority="99" w:semiHidden="0" w:name="footer"/>
    <w:lsdException w:uiPriority="99" w:name="index heading"/>
    <w:lsdException w:qFormat="1" w:uiPriority="99" w:name="caption"/>
    <w:lsdException w:qFormat="1"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99" w:semiHidden="0" w:name="Strong"/>
    <w:lsdException w:unhideWhenUsed="0" w:uiPriority="99"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qFormat="1" w:uiPriority="99" w:name="HTML Code"/>
    <w:lsdException w:qFormat="1" w:uiPriority="99" w:name="HTML Definition"/>
    <w:lsdException w:qFormat="1" w:uiPriority="99" w:name="HTML Keyboard"/>
    <w:lsdException w:uiPriority="99" w:name="HTML Preformatted"/>
    <w:lsdException w:qFormat="1" w:uiPriority="99" w:semiHidden="0"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9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50" w:beforeLines="50" w:after="50" w:afterLines="5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qFormat/>
    <w:uiPriority w:val="0"/>
    <w:pPr>
      <w:numPr>
        <w:ilvl w:val="2"/>
      </w:numPr>
      <w:spacing w:before="120"/>
      <w:outlineLvl w:val="2"/>
    </w:pPr>
    <w:rPr>
      <w:sz w:val="24"/>
    </w:rPr>
  </w:style>
  <w:style w:type="paragraph" w:styleId="5">
    <w:name w:val="heading 4"/>
    <w:basedOn w:val="4"/>
    <w:next w:val="1"/>
    <w:unhideWhenUsed/>
    <w:qFormat/>
    <w:uiPriority w:val="9"/>
    <w:pPr>
      <w:outlineLvl w:val="3"/>
    </w:pPr>
  </w:style>
  <w:style w:type="character" w:default="1" w:styleId="20">
    <w:name w:val="Default Paragraph Font"/>
    <w:semiHidden/>
    <w:unhideWhenUsed/>
    <w:uiPriority w:val="1"/>
  </w:style>
  <w:style w:type="table" w:default="1" w:styleId="18">
    <w:name w:val="Normal Table"/>
    <w:semiHidden/>
    <w:unhideWhenUsed/>
    <w:uiPriority w:val="99"/>
    <w:tblPr>
      <w:tblCellMar>
        <w:top w:w="0" w:type="dxa"/>
        <w:left w:w="108" w:type="dxa"/>
        <w:bottom w:w="0" w:type="dxa"/>
        <w:right w:w="108" w:type="dxa"/>
      </w:tblCellMar>
    </w:tblPr>
  </w:style>
  <w:style w:type="paragraph" w:styleId="6">
    <w:name w:val="caption"/>
    <w:basedOn w:val="1"/>
    <w:next w:val="1"/>
    <w:semiHidden/>
    <w:unhideWhenUsed/>
    <w:qFormat/>
    <w:uiPriority w:val="99"/>
    <w:rPr>
      <w:rFonts w:ascii="Arial" w:hAnsi="Arial" w:eastAsia="黑体"/>
      <w:sz w:val="20"/>
    </w:rPr>
  </w:style>
  <w:style w:type="paragraph" w:styleId="7">
    <w:name w:val="annotation text"/>
    <w:basedOn w:val="1"/>
    <w:link w:val="40"/>
    <w:semiHidden/>
    <w:unhideWhenUsed/>
    <w:qFormat/>
    <w:uiPriority w:val="0"/>
  </w:style>
  <w:style w:type="paragraph" w:styleId="8">
    <w:name w:val="Body Text"/>
    <w:basedOn w:val="1"/>
    <w:qFormat/>
    <w:uiPriority w:val="0"/>
    <w:pPr>
      <w:spacing w:after="120"/>
    </w:pPr>
  </w:style>
  <w:style w:type="paragraph" w:styleId="9">
    <w:name w:val="toc 3"/>
    <w:basedOn w:val="1"/>
    <w:next w:val="1"/>
    <w:unhideWhenUsed/>
    <w:qFormat/>
    <w:uiPriority w:val="99"/>
    <w:pPr>
      <w:adjustRightInd w:val="0"/>
      <w:ind w:left="1282" w:leftChars="400" w:hanging="442" w:hangingChars="200"/>
    </w:pPr>
    <w:rPr>
      <w:b/>
      <w:i/>
      <w:sz w:val="20"/>
    </w:rPr>
  </w:style>
  <w:style w:type="paragraph" w:styleId="10">
    <w:name w:val="Balloon Text"/>
    <w:basedOn w:val="1"/>
    <w:link w:val="29"/>
    <w:semiHidden/>
    <w:unhideWhenUsed/>
    <w:qFormat/>
    <w:uiPriority w:val="99"/>
    <w:pPr>
      <w:spacing w:before="0" w:after="0"/>
    </w:pPr>
    <w:rPr>
      <w:sz w:val="18"/>
      <w:szCs w:val="18"/>
    </w:rPr>
  </w:style>
  <w:style w:type="paragraph" w:styleId="11">
    <w:name w:val="footer"/>
    <w:basedOn w:val="1"/>
    <w:unhideWhenUsed/>
    <w:qFormat/>
    <w:uiPriority w:val="99"/>
    <w:pPr>
      <w:tabs>
        <w:tab w:val="center" w:pos="4153"/>
        <w:tab w:val="right" w:pos="8306"/>
      </w:tabs>
      <w:snapToGrid w:val="0"/>
      <w:jc w:val="left"/>
    </w:pPr>
    <w:rPr>
      <w:sz w:val="18"/>
      <w:szCs w:val="18"/>
    </w:rPr>
  </w:style>
  <w:style w:type="paragraph" w:styleId="12">
    <w:name w:val="header"/>
    <w:basedOn w:val="1"/>
    <w:semiHidden/>
    <w:qFormat/>
    <w:uiPriority w:val="0"/>
    <w:pPr>
      <w:pBdr>
        <w:bottom w:val="single" w:color="auto" w:sz="6" w:space="1"/>
      </w:pBdr>
      <w:tabs>
        <w:tab w:val="center" w:pos="4153"/>
        <w:tab w:val="right" w:pos="8306"/>
      </w:tabs>
      <w:snapToGrid w:val="0"/>
      <w:jc w:val="center"/>
    </w:pPr>
    <w:rPr>
      <w:sz w:val="18"/>
      <w:szCs w:val="18"/>
    </w:rPr>
  </w:style>
  <w:style w:type="paragraph" w:styleId="13">
    <w:name w:val="toc 1"/>
    <w:basedOn w:val="1"/>
    <w:next w:val="1"/>
    <w:unhideWhenUsed/>
    <w:qFormat/>
    <w:uiPriority w:val="39"/>
    <w:pPr>
      <w:tabs>
        <w:tab w:val="decimal" w:pos="0"/>
        <w:tab w:val="right" w:pos="9660"/>
      </w:tabs>
      <w:ind w:right="420" w:rightChars="200"/>
    </w:pPr>
    <w:rPr>
      <w:rFonts w:eastAsiaTheme="minorEastAsia"/>
      <w:b/>
      <w:bCs/>
      <w:iCs/>
    </w:rPr>
  </w:style>
  <w:style w:type="paragraph" w:styleId="14">
    <w:name w:val="table of figures"/>
    <w:basedOn w:val="1"/>
    <w:next w:val="1"/>
    <w:semiHidden/>
    <w:unhideWhenUsed/>
    <w:qFormat/>
    <w:uiPriority w:val="99"/>
    <w:pPr>
      <w:ind w:left="200" w:leftChars="200" w:hanging="200" w:hangingChars="200"/>
    </w:pPr>
  </w:style>
  <w:style w:type="paragraph" w:styleId="15">
    <w:name w:val="toc 2"/>
    <w:basedOn w:val="1"/>
    <w:next w:val="1"/>
    <w:semiHidden/>
    <w:unhideWhenUsed/>
    <w:qFormat/>
    <w:uiPriority w:val="99"/>
    <w:pPr>
      <w:tabs>
        <w:tab w:val="right" w:pos="420"/>
      </w:tabs>
      <w:ind w:left="862" w:leftChars="200" w:hanging="442" w:hangingChars="200"/>
      <w:jc w:val="left"/>
    </w:pPr>
    <w:rPr>
      <w:b/>
      <w:i/>
      <w:sz w:val="20"/>
    </w:rPr>
  </w:style>
  <w:style w:type="paragraph" w:styleId="16">
    <w:name w:val="Normal (Web)"/>
    <w:basedOn w:val="1"/>
    <w:semiHidden/>
    <w:unhideWhenUsed/>
    <w:qFormat/>
    <w:uiPriority w:val="99"/>
    <w:pPr>
      <w:spacing w:before="0" w:beforeAutospacing="1" w:after="0" w:afterAutospacing="1"/>
      <w:jc w:val="left"/>
    </w:pPr>
    <w:rPr>
      <w:kern w:val="0"/>
      <w:sz w:val="24"/>
    </w:rPr>
  </w:style>
  <w:style w:type="paragraph" w:styleId="17">
    <w:name w:val="annotation subject"/>
    <w:basedOn w:val="7"/>
    <w:next w:val="7"/>
    <w:link w:val="41"/>
    <w:semiHidden/>
    <w:unhideWhenUsed/>
    <w:qFormat/>
    <w:uiPriority w:val="99"/>
    <w:pPr>
      <w:jc w:val="left"/>
    </w:pPr>
    <w:rPr>
      <w:b/>
      <w:bCs/>
    </w:rPr>
  </w:style>
  <w:style w:type="table" w:styleId="19">
    <w:name w:val="Table Grid"/>
    <w:basedOn w:val="18"/>
    <w:qFormat/>
    <w:uiPriority w:val="99"/>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Strong"/>
    <w:basedOn w:val="20"/>
    <w:qFormat/>
    <w:uiPriority w:val="99"/>
    <w:rPr>
      <w:b/>
      <w:sz w:val="19"/>
      <w:szCs w:val="19"/>
    </w:rPr>
  </w:style>
  <w:style w:type="character" w:styleId="22">
    <w:name w:val="FollowedHyperlink"/>
    <w:basedOn w:val="20"/>
    <w:semiHidden/>
    <w:unhideWhenUsed/>
    <w:qFormat/>
    <w:uiPriority w:val="99"/>
    <w:rPr>
      <w:color w:val="409EFF"/>
      <w:u w:val="none"/>
    </w:rPr>
  </w:style>
  <w:style w:type="character" w:styleId="23">
    <w:name w:val="HTML Definition"/>
    <w:basedOn w:val="20"/>
    <w:semiHidden/>
    <w:unhideWhenUsed/>
    <w:qFormat/>
    <w:uiPriority w:val="99"/>
    <w:rPr>
      <w:i/>
    </w:rPr>
  </w:style>
  <w:style w:type="character" w:styleId="24">
    <w:name w:val="Hyperlink"/>
    <w:basedOn w:val="20"/>
    <w:unhideWhenUsed/>
    <w:qFormat/>
    <w:uiPriority w:val="99"/>
    <w:rPr>
      <w:color w:val="0000FF" w:themeColor="hyperlink"/>
      <w:u w:val="single"/>
      <w14:textFill>
        <w14:solidFill>
          <w14:schemeClr w14:val="hlink"/>
        </w14:solidFill>
      </w14:textFill>
    </w:rPr>
  </w:style>
  <w:style w:type="character" w:styleId="25">
    <w:name w:val="HTML Code"/>
    <w:basedOn w:val="20"/>
    <w:semiHidden/>
    <w:unhideWhenUsed/>
    <w:qFormat/>
    <w:uiPriority w:val="99"/>
    <w:rPr>
      <w:rFonts w:hint="default" w:ascii="Consolas" w:hAnsi="Consolas" w:eastAsia="Consolas" w:cs="Consolas"/>
      <w:color w:val="C7254E"/>
      <w:sz w:val="21"/>
      <w:szCs w:val="21"/>
      <w:shd w:val="clear" w:color="auto" w:fill="F9F2F4"/>
    </w:rPr>
  </w:style>
  <w:style w:type="character" w:styleId="26">
    <w:name w:val="annotation reference"/>
    <w:basedOn w:val="20"/>
    <w:semiHidden/>
    <w:unhideWhenUsed/>
    <w:qFormat/>
    <w:uiPriority w:val="99"/>
    <w:rPr>
      <w:sz w:val="21"/>
      <w:szCs w:val="21"/>
    </w:rPr>
  </w:style>
  <w:style w:type="character" w:styleId="27">
    <w:name w:val="HTML Keyboard"/>
    <w:basedOn w:val="20"/>
    <w:semiHidden/>
    <w:unhideWhenUsed/>
    <w:qFormat/>
    <w:uiPriority w:val="99"/>
    <w:rPr>
      <w:rFonts w:ascii="Consolas" w:hAnsi="Consolas" w:eastAsia="Consolas" w:cs="Consolas"/>
      <w:color w:val="FFFFFF"/>
      <w:sz w:val="21"/>
      <w:szCs w:val="21"/>
      <w:shd w:val="clear" w:color="auto" w:fill="333333"/>
    </w:rPr>
  </w:style>
  <w:style w:type="character" w:styleId="28">
    <w:name w:val="HTML Sample"/>
    <w:basedOn w:val="20"/>
    <w:unhideWhenUsed/>
    <w:qFormat/>
    <w:uiPriority w:val="99"/>
    <w:rPr>
      <w:rFonts w:hint="default" w:ascii="Consolas" w:hAnsi="Consolas" w:eastAsia="Consolas" w:cs="Consolas"/>
      <w:sz w:val="21"/>
      <w:szCs w:val="21"/>
    </w:rPr>
  </w:style>
  <w:style w:type="character" w:customStyle="1" w:styleId="29">
    <w:name w:val="批注框文本 字符"/>
    <w:basedOn w:val="20"/>
    <w:link w:val="10"/>
    <w:semiHidden/>
    <w:qFormat/>
    <w:uiPriority w:val="99"/>
    <w:rPr>
      <w:kern w:val="2"/>
      <w:sz w:val="18"/>
      <w:szCs w:val="18"/>
    </w:rPr>
  </w:style>
  <w:style w:type="paragraph" w:customStyle="1" w:styleId="30">
    <w:name w:val="YJ-Observation"/>
    <w:basedOn w:val="31"/>
    <w:qFormat/>
    <w:uiPriority w:val="0"/>
    <w:pPr>
      <w:numPr>
        <w:ilvl w:val="0"/>
        <w:numId w:val="2"/>
      </w:numPr>
      <w:tabs>
        <w:tab w:val="left" w:pos="0"/>
        <w:tab w:val="left" w:pos="1417"/>
        <w:tab w:val="left" w:pos="4820"/>
      </w:tabs>
    </w:pPr>
  </w:style>
  <w:style w:type="paragraph" w:customStyle="1" w:styleId="31">
    <w:name w:val="YJ-Proposal"/>
    <w:basedOn w:val="1"/>
    <w:qFormat/>
    <w:uiPriority w:val="0"/>
    <w:pPr>
      <w:numPr>
        <w:ilvl w:val="0"/>
        <w:numId w:val="3"/>
      </w:numPr>
      <w:tabs>
        <w:tab w:val="left" w:pos="0"/>
      </w:tabs>
      <w:ind w:left="0"/>
    </w:pPr>
    <w:rPr>
      <w:rFonts w:eastAsiaTheme="minorEastAsia"/>
      <w:b/>
      <w:bCs/>
      <w:szCs w:val="21"/>
      <w:lang w:val="en-GB" w:eastAsia="en-US"/>
    </w:rPr>
  </w:style>
  <w:style w:type="paragraph" w:customStyle="1" w:styleId="32">
    <w:name w:val="sub-proposal"/>
    <w:basedOn w:val="31"/>
    <w:next w:val="1"/>
    <w:qFormat/>
    <w:uiPriority w:val="0"/>
    <w:pPr>
      <w:numPr>
        <w:numId w:val="4"/>
      </w:numPr>
      <w:tabs>
        <w:tab w:val="left" w:pos="420"/>
        <w:tab w:val="left" w:pos="807"/>
      </w:tabs>
      <w:ind w:left="862" w:leftChars="200" w:hanging="442" w:hangingChars="200"/>
    </w:pPr>
  </w:style>
  <w:style w:type="paragraph" w:customStyle="1" w:styleId="33">
    <w:name w:val="sub-observation"/>
    <w:basedOn w:val="32"/>
    <w:next w:val="1"/>
    <w:qFormat/>
    <w:uiPriority w:val="0"/>
  </w:style>
  <w:style w:type="paragraph" w:customStyle="1" w:styleId="34">
    <w:name w:val="3rd level proposal"/>
    <w:basedOn w:val="32"/>
    <w:next w:val="1"/>
    <w:qFormat/>
    <w:uiPriority w:val="0"/>
    <w:pPr>
      <w:numPr>
        <w:ilvl w:val="0"/>
        <w:numId w:val="5"/>
      </w:numPr>
      <w:ind w:left="1282" w:leftChars="400" w:hanging="442"/>
    </w:pPr>
  </w:style>
  <w:style w:type="paragraph" w:customStyle="1" w:styleId="35">
    <w:name w:val="3rd level observation"/>
    <w:basedOn w:val="33"/>
    <w:qFormat/>
    <w:uiPriority w:val="0"/>
    <w:pPr>
      <w:numPr>
        <w:ilvl w:val="0"/>
        <w:numId w:val="6"/>
      </w:numPr>
      <w:ind w:left="1282" w:leftChars="400" w:hanging="442"/>
    </w:pPr>
  </w:style>
  <w:style w:type="paragraph" w:customStyle="1" w:styleId="36">
    <w:name w:val="References"/>
    <w:basedOn w:val="1"/>
    <w:qFormat/>
    <w:uiPriority w:val="0"/>
    <w:pPr>
      <w:numPr>
        <w:ilvl w:val="0"/>
        <w:numId w:val="7"/>
      </w:numPr>
      <w:spacing w:after="60"/>
    </w:pPr>
    <w:rPr>
      <w:szCs w:val="16"/>
    </w:rPr>
  </w:style>
  <w:style w:type="paragraph" w:styleId="37">
    <w:name w:val="List Paragraph"/>
    <w:basedOn w:val="1"/>
    <w:qFormat/>
    <w:uiPriority w:val="34"/>
    <w:pPr>
      <w:spacing w:beforeLines="0" w:after="0"/>
      <w:ind w:left="720"/>
      <w:contextualSpacing/>
    </w:pPr>
    <w:rPr>
      <w:rFonts w:eastAsia="Times New Roman"/>
      <w:sz w:val="24"/>
      <w:szCs w:val="24"/>
    </w:rPr>
  </w:style>
  <w:style w:type="paragraph" w:customStyle="1" w:styleId="38">
    <w:name w:val="样式1"/>
    <w:basedOn w:val="1"/>
    <w:qFormat/>
    <w:uiPriority w:val="0"/>
  </w:style>
  <w:style w:type="paragraph" w:customStyle="1" w:styleId="39">
    <w:name w:val="样式2"/>
    <w:basedOn w:val="1"/>
    <w:qFormat/>
    <w:uiPriority w:val="0"/>
  </w:style>
  <w:style w:type="character" w:customStyle="1" w:styleId="40">
    <w:name w:val="批注文字 字符"/>
    <w:basedOn w:val="20"/>
    <w:link w:val="7"/>
    <w:semiHidden/>
    <w:qFormat/>
    <w:uiPriority w:val="0"/>
    <w:rPr>
      <w:kern w:val="2"/>
      <w:sz w:val="21"/>
    </w:rPr>
  </w:style>
  <w:style w:type="character" w:customStyle="1" w:styleId="41">
    <w:name w:val="批注主题 字符"/>
    <w:basedOn w:val="40"/>
    <w:link w:val="17"/>
    <w:semiHidden/>
    <w:qFormat/>
    <w:uiPriority w:val="99"/>
    <w:rPr>
      <w:b/>
      <w:bCs/>
      <w:kern w:val="2"/>
      <w:sz w:val="21"/>
    </w:rPr>
  </w:style>
  <w:style w:type="character" w:customStyle="1" w:styleId="42">
    <w:name w:val="active1"/>
    <w:basedOn w:val="20"/>
    <w:qFormat/>
    <w:uiPriority w:val="0"/>
    <w:rPr>
      <w:color w:val="FFFFFF"/>
      <w:shd w:val="clear" w:color="auto" w:fill="006DCC"/>
    </w:rPr>
  </w:style>
  <w:style w:type="character" w:customStyle="1" w:styleId="43">
    <w:name w:val="old"/>
    <w:basedOn w:val="20"/>
    <w:qFormat/>
    <w:uiPriority w:val="0"/>
    <w:rPr>
      <w:color w:val="999999"/>
    </w:rPr>
  </w:style>
  <w:style w:type="character" w:customStyle="1" w:styleId="44">
    <w:name w:val="hover16"/>
    <w:basedOn w:val="20"/>
    <w:qFormat/>
    <w:uiPriority w:val="0"/>
    <w:rPr>
      <w:shd w:val="clear" w:color="auto" w:fill="EEEEEE"/>
    </w:rPr>
  </w:style>
  <w:style w:type="character" w:customStyle="1" w:styleId="45">
    <w:name w:val="badge57"/>
    <w:basedOn w:val="20"/>
    <w:qFormat/>
    <w:uiPriority w:val="0"/>
    <w:rPr>
      <w:b/>
      <w:color w:val="FFFFFF"/>
      <w:sz w:val="24"/>
      <w:szCs w:val="24"/>
      <w:shd w:val="clear" w:color="auto" w:fill="001F3F"/>
    </w:rPr>
  </w:style>
  <w:style w:type="character" w:customStyle="1" w:styleId="46">
    <w:name w:val="badge56"/>
    <w:basedOn w:val="20"/>
    <w:qFormat/>
    <w:uiPriority w:val="0"/>
    <w:rPr>
      <w:b/>
      <w:color w:val="FFFFFF"/>
      <w:sz w:val="24"/>
      <w:szCs w:val="24"/>
      <w:shd w:val="clear" w:color="auto" w:fill="001F3F"/>
    </w:rPr>
  </w:style>
  <w:style w:type="character" w:customStyle="1" w:styleId="47">
    <w:name w:val="badge58"/>
    <w:basedOn w:val="20"/>
    <w:qFormat/>
    <w:uiPriority w:val="0"/>
    <w:rPr>
      <w:b/>
      <w:color w:val="FFFFFF"/>
      <w:sz w:val="24"/>
      <w:szCs w:val="24"/>
      <w:shd w:val="clear" w:color="auto" w:fill="001F3F"/>
    </w:rPr>
  </w:style>
  <w:style w:type="character" w:customStyle="1" w:styleId="48">
    <w:name w:val="active3"/>
    <w:basedOn w:val="20"/>
    <w:qFormat/>
    <w:uiPriority w:val="0"/>
    <w:rPr>
      <w:color w:val="FFFFFF"/>
      <w:shd w:val="clear" w:color="auto" w:fill="006DCC"/>
    </w:rPr>
  </w:style>
  <w:style w:type="character" w:customStyle="1" w:styleId="49">
    <w:name w:val="badge55"/>
    <w:basedOn w:val="20"/>
    <w:qFormat/>
    <w:uiPriority w:val="0"/>
    <w:rPr>
      <w:b/>
      <w:color w:val="FFFFFF"/>
      <w:sz w:val="24"/>
      <w:szCs w:val="24"/>
      <w:shd w:val="clear" w:color="auto" w:fill="001F3F"/>
    </w:rPr>
  </w:style>
  <w:style w:type="character" w:customStyle="1" w:styleId="50">
    <w:name w:val="hover15"/>
    <w:basedOn w:val="20"/>
    <w:qFormat/>
    <w:uiPriority w:val="0"/>
    <w:rPr>
      <w:shd w:val="clear" w:color="auto" w:fill="EEEEEE"/>
    </w:rPr>
  </w:style>
  <w:style w:type="character" w:customStyle="1" w:styleId="51">
    <w:name w:val="active"/>
    <w:basedOn w:val="20"/>
    <w:qFormat/>
    <w:uiPriority w:val="0"/>
    <w:rPr>
      <w:color w:val="FFFFFF"/>
      <w:shd w:val="clear" w:color="auto" w:fill="006DCC"/>
    </w:rPr>
  </w:style>
  <w:style w:type="paragraph" w:customStyle="1" w:styleId="52">
    <w:name w:val="ZT"/>
    <w:qFormat/>
    <w:uiPriority w:val="0"/>
    <w:pPr>
      <w:framePr w:wrap="notBeside" w:vAnchor="margin" w:hAnchor="margin" w:yAlign="center"/>
      <w:widowControl w:val="0"/>
      <w:spacing w:after="160" w:line="240" w:lineRule="atLeast"/>
      <w:jc w:val="right"/>
    </w:pPr>
    <w:rPr>
      <w:rFonts w:ascii="Arial" w:hAnsi="Arial" w:eastAsia="Times New Roman" w:cs="Times New Roman"/>
      <w:b/>
      <w:sz w:val="34"/>
      <w:lang w:val="en-GB" w:eastAsia="en-US" w:bidi="ar-SA"/>
    </w:rPr>
  </w:style>
  <w:style w:type="paragraph" w:customStyle="1" w:styleId="53">
    <w:name w:val="TAC"/>
    <w:basedOn w:val="54"/>
    <w:qFormat/>
    <w:uiPriority w:val="0"/>
    <w:pPr>
      <w:jc w:val="center"/>
    </w:pPr>
  </w:style>
  <w:style w:type="paragraph" w:customStyle="1" w:styleId="54">
    <w:name w:val="TAL"/>
    <w:basedOn w:val="1"/>
    <w:qFormat/>
    <w:uiPriority w:val="0"/>
    <w:pPr>
      <w:keepNext/>
      <w:keepLines/>
    </w:pPr>
    <w:rPr>
      <w:rFonts w:ascii="Arial" w:hAnsi="Arial"/>
      <w:sz w:val="18"/>
    </w:rPr>
  </w:style>
  <w:style w:type="paragraph" w:customStyle="1" w:styleId="55">
    <w:name w:val="TH"/>
    <w:basedOn w:val="1"/>
    <w:qFormat/>
    <w:uiPriority w:val="0"/>
    <w:pPr>
      <w:keepNext/>
      <w:keepLines/>
      <w:spacing w:before="60"/>
      <w:jc w:val="center"/>
    </w:pPr>
    <w:rPr>
      <w:rFonts w:ascii="Arial" w:hAnsi="Arial"/>
      <w:b/>
      <w:lang w:val="zh-CN"/>
    </w:rPr>
  </w:style>
  <w:style w:type="paragraph" w:customStyle="1" w:styleId="56">
    <w:name w:val="TAH"/>
    <w:basedOn w:val="53"/>
    <w:qFormat/>
    <w:uiPriority w:val="0"/>
    <w:rPr>
      <w:b/>
    </w:rPr>
  </w:style>
  <w:style w:type="paragraph" w:customStyle="1" w:styleId="57">
    <w:name w:val="Spec Text"/>
    <w:qFormat/>
    <w:uiPriority w:val="0"/>
    <w:pPr>
      <w:numPr>
        <w:ilvl w:val="0"/>
        <w:numId w:val="8"/>
      </w:numPr>
      <w:spacing w:before="120" w:line="360" w:lineRule="auto"/>
    </w:pPr>
    <w:rPr>
      <w:rFonts w:ascii="Times New Roman" w:hAnsi="Times New Roman" w:eastAsia="宋体" w:cs="Arial"/>
      <w:lang w:val="en-US" w:eastAsia="zh-CN" w:bidi="ar-SA"/>
    </w:rPr>
  </w:style>
  <w:style w:type="character" w:styleId="58">
    <w:name w:val="Placeholder Text"/>
    <w:basedOn w:val="20"/>
    <w:semiHidden/>
    <w:qFormat/>
    <w:uiPriority w:val="99"/>
    <w:rPr>
      <w:color w:val="808080"/>
    </w:rPr>
  </w:style>
  <w:style w:type="paragraph" w:customStyle="1" w:styleId="59">
    <w:name w:val="Figure"/>
    <w:basedOn w:val="1"/>
    <w:qFormat/>
    <w:uiPriority w:val="0"/>
    <w:pPr>
      <w:numPr>
        <w:ilvl w:val="0"/>
        <w:numId w:val="9"/>
      </w:numPr>
      <w:tabs>
        <w:tab w:val="clear" w:pos="0"/>
      </w:tabs>
      <w:jc w:val="center"/>
    </w:pPr>
    <w:rPr>
      <w:rFonts w:hint="eastAsia"/>
    </w:rPr>
  </w:style>
  <w:style w:type="paragraph" w:customStyle="1" w:styleId="60">
    <w:name w:val="样式3"/>
    <w:basedOn w:val="1"/>
    <w:qFormat/>
    <w:uiPriority w:val="0"/>
  </w:style>
  <w:style w:type="character" w:customStyle="1" w:styleId="61">
    <w:name w:val="15"/>
    <w:basedOn w:val="20"/>
    <w:uiPriority w:val="0"/>
    <w:rPr>
      <w:rFonts w:hint="default" w:ascii="Times New Roman" w:hAnsi="Times New Roman" w:cs="Times New Roman"/>
      <w:color w:val="000000"/>
      <w:sz w:val="21"/>
      <w:szCs w:val="21"/>
    </w:rPr>
  </w:style>
</w:styles>
</file>

<file path=word/_rels/document.xml.rels><?xml version="1.0" encoding="UTF-8" standalone="yes"?>
<Relationships xmlns="http://schemas.openxmlformats.org/package/2006/relationships"><Relationship Id="rId99" Type="http://schemas.openxmlformats.org/officeDocument/2006/relationships/image" Target="media/image49.png"/><Relationship Id="rId98" Type="http://schemas.openxmlformats.org/officeDocument/2006/relationships/image" Target="media/image48.png"/><Relationship Id="rId97" Type="http://schemas.openxmlformats.org/officeDocument/2006/relationships/image" Target="media/image47.png"/><Relationship Id="rId96" Type="http://schemas.openxmlformats.org/officeDocument/2006/relationships/image" Target="media/image46.png"/><Relationship Id="rId95" Type="http://schemas.openxmlformats.org/officeDocument/2006/relationships/image" Target="media/image45.png"/><Relationship Id="rId94" Type="http://schemas.openxmlformats.org/officeDocument/2006/relationships/image" Target="media/image44.png"/><Relationship Id="rId93" Type="http://schemas.openxmlformats.org/officeDocument/2006/relationships/image" Target="media/image43.wmf"/><Relationship Id="rId92" Type="http://schemas.openxmlformats.org/officeDocument/2006/relationships/oleObject" Target="embeddings/oleObject39.bin"/><Relationship Id="rId91" Type="http://schemas.openxmlformats.org/officeDocument/2006/relationships/image" Target="media/image42.emf"/><Relationship Id="rId90" Type="http://schemas.openxmlformats.org/officeDocument/2006/relationships/image" Target="media/image41.emf"/><Relationship Id="rId9" Type="http://schemas.openxmlformats.org/officeDocument/2006/relationships/theme" Target="theme/theme1.xml"/><Relationship Id="rId89" Type="http://schemas.openxmlformats.org/officeDocument/2006/relationships/image" Target="media/image40.png"/><Relationship Id="rId88" Type="http://schemas.openxmlformats.org/officeDocument/2006/relationships/chart" Target="charts/chart2.xml"/><Relationship Id="rId87" Type="http://schemas.openxmlformats.org/officeDocument/2006/relationships/oleObject" Target="embeddings/oleObject38.bin"/><Relationship Id="rId86" Type="http://schemas.openxmlformats.org/officeDocument/2006/relationships/image" Target="media/image39.wmf"/><Relationship Id="rId85" Type="http://schemas.openxmlformats.org/officeDocument/2006/relationships/oleObject" Target="embeddings/oleObject37.bin"/><Relationship Id="rId84" Type="http://schemas.openxmlformats.org/officeDocument/2006/relationships/image" Target="media/image38.wmf"/><Relationship Id="rId83" Type="http://schemas.openxmlformats.org/officeDocument/2006/relationships/oleObject" Target="embeddings/oleObject36.bin"/><Relationship Id="rId82" Type="http://schemas.openxmlformats.org/officeDocument/2006/relationships/image" Target="media/image37.emf"/><Relationship Id="rId81" Type="http://schemas.openxmlformats.org/officeDocument/2006/relationships/image" Target="media/image36.emf"/><Relationship Id="rId80" Type="http://schemas.openxmlformats.org/officeDocument/2006/relationships/image" Target="media/image35.emf"/><Relationship Id="rId8" Type="http://schemas.openxmlformats.org/officeDocument/2006/relationships/footer" Target="footer3.xml"/><Relationship Id="rId79" Type="http://schemas.openxmlformats.org/officeDocument/2006/relationships/image" Target="media/image34.emf"/><Relationship Id="rId78" Type="http://schemas.openxmlformats.org/officeDocument/2006/relationships/image" Target="media/image33.emf"/><Relationship Id="rId77" Type="http://schemas.openxmlformats.org/officeDocument/2006/relationships/image" Target="media/image32.emf"/><Relationship Id="rId76" Type="http://schemas.openxmlformats.org/officeDocument/2006/relationships/image" Target="media/image31.emf"/><Relationship Id="rId75" Type="http://schemas.openxmlformats.org/officeDocument/2006/relationships/image" Target="media/image30.emf"/><Relationship Id="rId74" Type="http://schemas.openxmlformats.org/officeDocument/2006/relationships/image" Target="media/image29.emf"/><Relationship Id="rId73" Type="http://schemas.openxmlformats.org/officeDocument/2006/relationships/image" Target="media/image28.emf"/><Relationship Id="rId72" Type="http://schemas.openxmlformats.org/officeDocument/2006/relationships/image" Target="media/image27.emf"/><Relationship Id="rId71" Type="http://schemas.openxmlformats.org/officeDocument/2006/relationships/image" Target="media/image26.emf"/><Relationship Id="rId70" Type="http://schemas.openxmlformats.org/officeDocument/2006/relationships/image" Target="media/image25.png"/><Relationship Id="rId7" Type="http://schemas.openxmlformats.org/officeDocument/2006/relationships/footer" Target="footer2.xml"/><Relationship Id="rId69" Type="http://schemas.openxmlformats.org/officeDocument/2006/relationships/image" Target="media/image24.png"/><Relationship Id="rId68" Type="http://schemas.openxmlformats.org/officeDocument/2006/relationships/image" Target="media/image23.jpeg"/><Relationship Id="rId67" Type="http://schemas.openxmlformats.org/officeDocument/2006/relationships/image" Target="media/image22.wmf"/><Relationship Id="rId66" Type="http://schemas.openxmlformats.org/officeDocument/2006/relationships/oleObject" Target="embeddings/oleObject35.bin"/><Relationship Id="rId65" Type="http://schemas.openxmlformats.org/officeDocument/2006/relationships/image" Target="media/image21.wmf"/><Relationship Id="rId64" Type="http://schemas.openxmlformats.org/officeDocument/2006/relationships/oleObject" Target="embeddings/oleObject34.bin"/><Relationship Id="rId63" Type="http://schemas.openxmlformats.org/officeDocument/2006/relationships/image" Target="media/image20.wmf"/><Relationship Id="rId62" Type="http://schemas.openxmlformats.org/officeDocument/2006/relationships/oleObject" Target="embeddings/oleObject33.bin"/><Relationship Id="rId61" Type="http://schemas.openxmlformats.org/officeDocument/2006/relationships/oleObject" Target="embeddings/oleObject32.bin"/><Relationship Id="rId60" Type="http://schemas.openxmlformats.org/officeDocument/2006/relationships/oleObject" Target="embeddings/oleObject31.bin"/><Relationship Id="rId6" Type="http://schemas.openxmlformats.org/officeDocument/2006/relationships/footer" Target="footer1.xml"/><Relationship Id="rId59" Type="http://schemas.openxmlformats.org/officeDocument/2006/relationships/oleObject" Target="embeddings/oleObject30.bin"/><Relationship Id="rId58" Type="http://schemas.openxmlformats.org/officeDocument/2006/relationships/oleObject" Target="embeddings/oleObject29.bin"/><Relationship Id="rId57" Type="http://schemas.openxmlformats.org/officeDocument/2006/relationships/oleObject" Target="embeddings/oleObject28.bin"/><Relationship Id="rId56" Type="http://schemas.openxmlformats.org/officeDocument/2006/relationships/oleObject" Target="embeddings/oleObject27.bin"/><Relationship Id="rId55" Type="http://schemas.openxmlformats.org/officeDocument/2006/relationships/oleObject" Target="embeddings/oleObject26.bin"/><Relationship Id="rId54" Type="http://schemas.openxmlformats.org/officeDocument/2006/relationships/oleObject" Target="embeddings/oleObject25.bin"/><Relationship Id="rId53" Type="http://schemas.openxmlformats.org/officeDocument/2006/relationships/oleObject" Target="embeddings/oleObject24.bin"/><Relationship Id="rId52" Type="http://schemas.openxmlformats.org/officeDocument/2006/relationships/oleObject" Target="embeddings/oleObject23.bin"/><Relationship Id="rId51" Type="http://schemas.openxmlformats.org/officeDocument/2006/relationships/oleObject" Target="embeddings/oleObject22.bin"/><Relationship Id="rId50" Type="http://schemas.openxmlformats.org/officeDocument/2006/relationships/oleObject" Target="embeddings/oleObject21.bin"/><Relationship Id="rId5" Type="http://schemas.openxmlformats.org/officeDocument/2006/relationships/header" Target="header3.xml"/><Relationship Id="rId49" Type="http://schemas.openxmlformats.org/officeDocument/2006/relationships/image" Target="media/image19.wmf"/><Relationship Id="rId48" Type="http://schemas.openxmlformats.org/officeDocument/2006/relationships/oleObject" Target="embeddings/oleObject20.bin"/><Relationship Id="rId47" Type="http://schemas.openxmlformats.org/officeDocument/2006/relationships/image" Target="media/image18.wmf"/><Relationship Id="rId46" Type="http://schemas.openxmlformats.org/officeDocument/2006/relationships/oleObject" Target="embeddings/oleObject19.bin"/><Relationship Id="rId45" Type="http://schemas.openxmlformats.org/officeDocument/2006/relationships/oleObject" Target="embeddings/oleObject18.bin"/><Relationship Id="rId44" Type="http://schemas.openxmlformats.org/officeDocument/2006/relationships/oleObject" Target="embeddings/oleObject17.bin"/><Relationship Id="rId43" Type="http://schemas.openxmlformats.org/officeDocument/2006/relationships/image" Target="media/image17.wmf"/><Relationship Id="rId42" Type="http://schemas.openxmlformats.org/officeDocument/2006/relationships/oleObject" Target="embeddings/oleObject16.bin"/><Relationship Id="rId41" Type="http://schemas.openxmlformats.org/officeDocument/2006/relationships/image" Target="media/image16.wmf"/><Relationship Id="rId40" Type="http://schemas.openxmlformats.org/officeDocument/2006/relationships/oleObject" Target="embeddings/oleObject15.bin"/><Relationship Id="rId4" Type="http://schemas.openxmlformats.org/officeDocument/2006/relationships/header" Target="header2.xml"/><Relationship Id="rId39" Type="http://schemas.openxmlformats.org/officeDocument/2006/relationships/oleObject" Target="embeddings/oleObject14.bin"/><Relationship Id="rId38" Type="http://schemas.openxmlformats.org/officeDocument/2006/relationships/oleObject" Target="embeddings/oleObject13.bin"/><Relationship Id="rId37" Type="http://schemas.openxmlformats.org/officeDocument/2006/relationships/image" Target="media/image15.wmf"/><Relationship Id="rId36" Type="http://schemas.openxmlformats.org/officeDocument/2006/relationships/oleObject" Target="embeddings/oleObject12.bin"/><Relationship Id="rId35" Type="http://schemas.openxmlformats.org/officeDocument/2006/relationships/image" Target="media/image14.wmf"/><Relationship Id="rId34" Type="http://schemas.openxmlformats.org/officeDocument/2006/relationships/oleObject" Target="embeddings/oleObject11.bin"/><Relationship Id="rId33" Type="http://schemas.openxmlformats.org/officeDocument/2006/relationships/image" Target="media/image13.wmf"/><Relationship Id="rId32" Type="http://schemas.openxmlformats.org/officeDocument/2006/relationships/oleObject" Target="embeddings/oleObject10.bin"/><Relationship Id="rId31" Type="http://schemas.openxmlformats.org/officeDocument/2006/relationships/image" Target="media/image12.wmf"/><Relationship Id="rId30" Type="http://schemas.openxmlformats.org/officeDocument/2006/relationships/oleObject" Target="embeddings/oleObject9.bin"/><Relationship Id="rId3" Type="http://schemas.openxmlformats.org/officeDocument/2006/relationships/header" Target="header1.xml"/><Relationship Id="rId29" Type="http://schemas.openxmlformats.org/officeDocument/2006/relationships/image" Target="media/image11.wmf"/><Relationship Id="rId28" Type="http://schemas.openxmlformats.org/officeDocument/2006/relationships/oleObject" Target="embeddings/oleObject8.bin"/><Relationship Id="rId27" Type="http://schemas.openxmlformats.org/officeDocument/2006/relationships/image" Target="media/image10.wmf"/><Relationship Id="rId26" Type="http://schemas.openxmlformats.org/officeDocument/2006/relationships/oleObject" Target="embeddings/oleObject7.bin"/><Relationship Id="rId25" Type="http://schemas.openxmlformats.org/officeDocument/2006/relationships/image" Target="media/image9.wmf"/><Relationship Id="rId24" Type="http://schemas.openxmlformats.org/officeDocument/2006/relationships/oleObject" Target="embeddings/oleObject6.bin"/><Relationship Id="rId23" Type="http://schemas.openxmlformats.org/officeDocument/2006/relationships/image" Target="media/image8.wmf"/><Relationship Id="rId22" Type="http://schemas.openxmlformats.org/officeDocument/2006/relationships/oleObject" Target="embeddings/oleObject5.bin"/><Relationship Id="rId21" Type="http://schemas.openxmlformats.org/officeDocument/2006/relationships/image" Target="media/image7.wmf"/><Relationship Id="rId20" Type="http://schemas.openxmlformats.org/officeDocument/2006/relationships/oleObject" Target="embeddings/oleObject4.bin"/><Relationship Id="rId2" Type="http://schemas.openxmlformats.org/officeDocument/2006/relationships/settings" Target="settings.xml"/><Relationship Id="rId19" Type="http://schemas.openxmlformats.org/officeDocument/2006/relationships/image" Target="media/image6.wmf"/><Relationship Id="rId18" Type="http://schemas.openxmlformats.org/officeDocument/2006/relationships/oleObject" Target="embeddings/oleObject3.bin"/><Relationship Id="rId17" Type="http://schemas.openxmlformats.org/officeDocument/2006/relationships/image" Target="media/image5.wmf"/><Relationship Id="rId16" Type="http://schemas.openxmlformats.org/officeDocument/2006/relationships/oleObject" Target="embeddings/oleObject2.bin"/><Relationship Id="rId15" Type="http://schemas.openxmlformats.org/officeDocument/2006/relationships/image" Target="media/image4.wmf"/><Relationship Id="rId14" Type="http://schemas.openxmlformats.org/officeDocument/2006/relationships/oleObject" Target="embeddings/oleObject1.bin"/><Relationship Id="rId13" Type="http://schemas.openxmlformats.org/officeDocument/2006/relationships/image" Target="media/image3.png"/><Relationship Id="rId12" Type="http://schemas.openxmlformats.org/officeDocument/2006/relationships/image" Target="media/image2.png"/><Relationship Id="rId11" Type="http://schemas.openxmlformats.org/officeDocument/2006/relationships/image" Target="media/image1.png"/><Relationship Id="rId105" Type="http://schemas.openxmlformats.org/officeDocument/2006/relationships/fontTable" Target="fontTable.xml"/><Relationship Id="rId104" Type="http://schemas.openxmlformats.org/officeDocument/2006/relationships/customXml" Target="../customXml/item2.xml"/><Relationship Id="rId103" Type="http://schemas.openxmlformats.org/officeDocument/2006/relationships/numbering" Target="numbering.xml"/><Relationship Id="rId102" Type="http://schemas.openxmlformats.org/officeDocument/2006/relationships/customXml" Target="../customXml/item1.xml"/><Relationship Id="rId101" Type="http://schemas.openxmlformats.org/officeDocument/2006/relationships/image" Target="media/image51.png"/><Relationship Id="rId100" Type="http://schemas.openxmlformats.org/officeDocument/2006/relationships/image" Target="media/image50.png"/><Relationship Id="rId10" Type="http://schemas.openxmlformats.org/officeDocument/2006/relationships/chart" Target="charts/chart1.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oleObject" Target="file:///D:\network%20power%20saving\RAN1" TargetMode="External"/></Relationships>
</file>

<file path=word/charts/_rels/chart2.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oleObject" Target="&#24037;&#20316;&#31807;1"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000" b="0" i="0" u="none" strike="noStrike" kern="1200" spc="0" baseline="0">
                <a:solidFill>
                  <a:schemeClr val="tx1"/>
                </a:solidFill>
                <a:latin typeface="+mn-lt"/>
                <a:ea typeface="+mn-ea"/>
                <a:cs typeface="+mn-cs"/>
              </a:defRPr>
            </a:pPr>
            <a:r>
              <a:rPr lang="en-US" altLang="zh-CN" sz="1000">
                <a:solidFill>
                  <a:schemeClr val="tx1"/>
                </a:solidFill>
              </a:rPr>
              <a:t>RU = 9%</a:t>
            </a:r>
            <a:endParaRPr lang="en-US" altLang="zh-CN" sz="1000">
              <a:solidFill>
                <a:schemeClr val="tx1"/>
              </a:solidFill>
            </a:endParaRPr>
          </a:p>
        </c:rich>
      </c:tx>
      <c:layout/>
      <c:overlay val="0"/>
      <c:spPr>
        <a:noFill/>
        <a:ln>
          <a:noFill/>
        </a:ln>
        <a:effectLst/>
      </c:spPr>
    </c:title>
    <c:autoTitleDeleted val="0"/>
    <c:plotArea>
      <c:layout/>
      <c:barChart>
        <c:barDir val="col"/>
        <c:grouping val="clustered"/>
        <c:varyColors val="0"/>
        <c:ser>
          <c:idx val="0"/>
          <c:order val="0"/>
          <c:tx>
            <c:strRef>
              <c:f>[NetworkingPS仿真数据_2022_TDD_DL_0.02M_0.01s_1000_64tx_32tx_16tx_8tx_4tx_20230213_RAN1_112.xlsx]plot!$C$48</c:f>
              <c:strCache>
                <c:ptCount val="1"/>
                <c:pt idx="0">
                  <c:v>UPT loss</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lang="zh-CN" sz="900" b="0" i="0" u="none" strike="noStrike" kern="1200" baseline="0">
                    <a:solidFill>
                      <a:schemeClr val="tx1"/>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[NetworkingPS仿真数据_2022_TDD_DL_0.02M_0.01s_1000_64tx_32tx_16tx_8tx_4tx_20230213_RAN1_112.xlsx]plot!$D$47:$E$47</c:f>
              <c:strCache>
                <c:ptCount val="2"/>
                <c:pt idx="0">
                  <c:v>Single CSI</c:v>
                </c:pt>
                <c:pt idx="1">
                  <c:v>Mulit CSI</c:v>
                </c:pt>
              </c:strCache>
            </c:strRef>
          </c:cat>
          <c:val>
            <c:numRef>
              <c:f>[NetworkingPS仿真数据_2022_TDD_DL_0.02M_0.01s_1000_64tx_32tx_16tx_8tx_4tx_20230213_RAN1_112.xlsx]plot!$D$48:$E$48</c:f>
              <c:numCache>
                <c:formatCode>0.00%</c:formatCode>
                <c:ptCount val="2"/>
                <c:pt idx="0">
                  <c:v>0.0614</c:v>
                </c:pt>
                <c:pt idx="1">
                  <c:v>0.0139</c:v>
                </c:pt>
              </c:numCache>
            </c:numRef>
          </c:val>
        </c:ser>
        <c:ser>
          <c:idx val="1"/>
          <c:order val="1"/>
          <c:tx>
            <c:strRef>
              <c:f>[NetworkingPS仿真数据_2022_TDD_DL_0.02M_0.01s_1000_64tx_32tx_16tx_8tx_4tx_20230213_RAN1_112.xlsx]plot!$C$49</c:f>
              <c:strCache>
                <c:ptCount val="1"/>
                <c:pt idx="0">
                  <c:v>ESG</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lang="zh-CN" sz="900" b="0" i="0" u="none" strike="noStrike" kern="1200" baseline="0">
                    <a:solidFill>
                      <a:schemeClr val="tx1"/>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[NetworkingPS仿真数据_2022_TDD_DL_0.02M_0.01s_1000_64tx_32tx_16tx_8tx_4tx_20230213_RAN1_112.xlsx]plot!$D$47:$E$47</c:f>
              <c:strCache>
                <c:ptCount val="2"/>
                <c:pt idx="0">
                  <c:v>Single CSI</c:v>
                </c:pt>
                <c:pt idx="1">
                  <c:v>Mulit CSI</c:v>
                </c:pt>
              </c:strCache>
            </c:strRef>
          </c:cat>
          <c:val>
            <c:numRef>
              <c:f>[NetworkingPS仿真数据_2022_TDD_DL_0.02M_0.01s_1000_64tx_32tx_16tx_8tx_4tx_20230213_RAN1_112.xlsx]plot!$D$49:$E$49</c:f>
              <c:numCache>
                <c:formatCode>0.00%</c:formatCode>
                <c:ptCount val="2"/>
                <c:pt idx="0">
                  <c:v>0.0936</c:v>
                </c:pt>
                <c:pt idx="1">
                  <c:v>0.2672</c:v>
                </c:pt>
              </c:numCache>
            </c:numRef>
          </c:val>
        </c:ser>
        <c:dLbls>
          <c:showLegendKey val="0"/>
          <c:showVal val="1"/>
          <c:showCatName val="0"/>
          <c:showSerName val="0"/>
          <c:showPercent val="0"/>
          <c:showBubbleSize val="0"/>
        </c:dLbls>
        <c:gapWidth val="219"/>
        <c:overlap val="-27"/>
        <c:axId val="508388736"/>
        <c:axId val="508389296"/>
      </c:barChart>
      <c:catAx>
        <c:axId val="508388736"/>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zh-CN" sz="900" b="0" i="0" u="none" strike="noStrike" kern="1200" baseline="0">
                <a:solidFill>
                  <a:schemeClr val="tx1"/>
                </a:solidFill>
                <a:latin typeface="+mn-lt"/>
                <a:ea typeface="+mn-ea"/>
                <a:cs typeface="+mn-cs"/>
              </a:defRPr>
            </a:pPr>
          </a:p>
        </c:txPr>
        <c:crossAx val="508389296"/>
        <c:crosses val="autoZero"/>
        <c:auto val="1"/>
        <c:lblAlgn val="ctr"/>
        <c:lblOffset val="100"/>
        <c:noMultiLvlLbl val="0"/>
      </c:catAx>
      <c:valAx>
        <c:axId val="508389296"/>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lang="zh-CN" sz="900" b="0" i="0" u="none" strike="noStrike" kern="1200" baseline="0">
                <a:solidFill>
                  <a:schemeClr val="tx1"/>
                </a:solidFill>
                <a:latin typeface="+mn-lt"/>
                <a:ea typeface="+mn-ea"/>
                <a:cs typeface="+mn-cs"/>
              </a:defRPr>
            </a:pPr>
          </a:p>
        </c:txPr>
        <c:crossAx val="508388736"/>
        <c:crosses val="autoZero"/>
        <c:crossBetween val="between"/>
      </c:valAx>
      <c:spPr>
        <a:noFill/>
        <a:ln>
          <a:noFill/>
        </a:ln>
        <a:effectLst/>
      </c:spPr>
    </c:plotArea>
    <c:legend>
      <c:legendPos val="b"/>
      <c:legendEntry>
        <c:idx val="0"/>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Entry>
      <c:legendEntry>
        <c:idx val="1"/>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Entry>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solidFill>
            <a:schemeClr val="tx1"/>
          </a:solidFill>
        </a:defRPr>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000" b="0" i="0" u="none" strike="noStrike" kern="1200" spc="0" baseline="0">
                <a:solidFill>
                  <a:schemeClr val="tx1">
                    <a:lumMod val="65000"/>
                    <a:lumOff val="35000"/>
                  </a:schemeClr>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r>
              <a:rPr lang="en-US" altLang="zh-CN" sz="1000">
                <a:latin typeface="Times New Roman" panose="02020603050405020304" charset="0"/>
                <a:ea typeface="Times New Roman" panose="02020603050405020304" charset="0"/>
                <a:cs typeface="Times New Roman" panose="02020603050405020304" charset="0"/>
                <a:sym typeface="Times New Roman" panose="02020603050405020304" charset="0"/>
              </a:rPr>
              <a:t>RI change distribution</a:t>
            </a:r>
            <a:endParaRPr lang="en-US" altLang="zh-CN" sz="1000">
              <a:latin typeface="Times New Roman" panose="02020603050405020304" charset="0"/>
              <a:ea typeface="Times New Roman" panose="02020603050405020304" charset="0"/>
              <a:cs typeface="Times New Roman" panose="02020603050405020304" charset="0"/>
              <a:sym typeface="Times New Roman" panose="02020603050405020304" charset="0"/>
            </a:endParaRPr>
          </a:p>
        </c:rich>
      </c:tx>
      <c:layout/>
      <c:overlay val="0"/>
      <c:spPr>
        <a:noFill/>
        <a:ln>
          <a:noFill/>
        </a:ln>
        <a:effectLst/>
      </c:spPr>
    </c:title>
    <c:autoTitleDeleted val="0"/>
    <c:plotArea>
      <c:layout/>
      <c:barChart>
        <c:barDir val="col"/>
        <c:grouping val="clustered"/>
        <c:varyColors val="0"/>
        <c:ser>
          <c:idx val="0"/>
          <c:order val="0"/>
          <c:spPr>
            <a:solidFill>
              <a:schemeClr val="accent1"/>
            </a:solidFill>
            <a:ln>
              <a:noFill/>
            </a:ln>
            <a:effectLst/>
          </c:spPr>
          <c:invertIfNegative val="0"/>
          <c:dLbls>
            <c:delete val="1"/>
          </c:dLbls>
          <c:cat>
            <c:strRef>
              <c:f>[工作簿1]Sheet1!$H$16:$N$16</c:f>
              <c:strCache>
                <c:ptCount val="7"/>
                <c:pt idx="0">
                  <c:v>no change</c:v>
                </c:pt>
                <c:pt idx="1">
                  <c:v>4-&gt;3</c:v>
                </c:pt>
                <c:pt idx="2">
                  <c:v>4-&gt;2</c:v>
                </c:pt>
                <c:pt idx="3">
                  <c:v>3-&gt;2</c:v>
                </c:pt>
                <c:pt idx="4">
                  <c:v>4-&gt;1</c:v>
                </c:pt>
                <c:pt idx="5">
                  <c:v>3-&gt;1</c:v>
                </c:pt>
                <c:pt idx="6">
                  <c:v>2-&gt;1</c:v>
                </c:pt>
              </c:strCache>
            </c:strRef>
          </c:cat>
          <c:val>
            <c:numRef>
              <c:f>[工作簿1]Sheet1!$H$17:$N$17</c:f>
              <c:numCache>
                <c:formatCode>0.00%</c:formatCode>
                <c:ptCount val="7"/>
                <c:pt idx="0">
                  <c:v>0.7913</c:v>
                </c:pt>
                <c:pt idx="1">
                  <c:v>0.09535</c:v>
                </c:pt>
                <c:pt idx="2">
                  <c:v>0.01395</c:v>
                </c:pt>
                <c:pt idx="3">
                  <c:v>0.09435</c:v>
                </c:pt>
                <c:pt idx="4">
                  <c:v>0</c:v>
                </c:pt>
                <c:pt idx="5">
                  <c:v>0</c:v>
                </c:pt>
                <c:pt idx="6">
                  <c:v>0.005005</c:v>
                </c:pt>
              </c:numCache>
            </c:numRef>
          </c:val>
        </c:ser>
        <c:dLbls>
          <c:showLegendKey val="0"/>
          <c:showVal val="0"/>
          <c:showCatName val="0"/>
          <c:showSerName val="0"/>
          <c:showPercent val="0"/>
          <c:showBubbleSize val="0"/>
        </c:dLbls>
        <c:gapWidth val="219"/>
        <c:overlap val="-27"/>
        <c:axId val="508391536"/>
        <c:axId val="508392096"/>
      </c:barChart>
      <c:catAx>
        <c:axId val="508391536"/>
        <c:scaling>
          <c:orientation val="minMax"/>
        </c:scaling>
        <c:delete val="0"/>
        <c:axPos val="b"/>
        <c:title>
          <c:tx>
            <c:rich>
              <a:bodyPr rot="0" spcFirstLastPara="0" vertOverflow="ellipsis" vert="horz" wrap="square" anchor="ctr" anchorCtr="1"/>
              <a:lstStyle/>
              <a:p>
                <a:pPr defTabSz="914400">
                  <a:defRPr lang="zh-CN" sz="700" b="0" i="0" u="none" strike="noStrike" kern="1200" baseline="0">
                    <a:solidFill>
                      <a:schemeClr val="tx1">
                        <a:lumMod val="65000"/>
                        <a:lumOff val="35000"/>
                      </a:schemeClr>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r>
                  <a:rPr lang="en-US" altLang="zh-CN" sz="700" dirty="0">
                    <a:latin typeface="Times New Roman" panose="02020603050405020304" charset="0"/>
                    <a:ea typeface="Times New Roman" panose="02020603050405020304" charset="0"/>
                    <a:cs typeface="Times New Roman" panose="02020603050405020304" charset="0"/>
                    <a:sym typeface="Times New Roman" panose="02020603050405020304" charset="0"/>
                  </a:rPr>
                  <a:t>RI of 32 ports ---&gt; RI of (24,16) ports</a:t>
                </a:r>
                <a:endParaRPr lang="en-US" altLang="zh-CN" sz="700" dirty="0">
                  <a:latin typeface="Times New Roman" panose="02020603050405020304" charset="0"/>
                  <a:ea typeface="Times New Roman" panose="02020603050405020304" charset="0"/>
                  <a:cs typeface="Times New Roman" panose="02020603050405020304" charset="0"/>
                  <a:sym typeface="Times New Roman" panose="02020603050405020304" charset="0"/>
                </a:endParaRPr>
              </a:p>
            </c:rich>
          </c:tx>
          <c:layout/>
          <c:overlay val="0"/>
          <c:spPr>
            <a:noFill/>
            <a:ln>
              <a:noFill/>
            </a:ln>
            <a:effectLst/>
          </c:spPr>
        </c:title>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p>
        </c:txPr>
        <c:crossAx val="508392096"/>
        <c:crosses val="autoZero"/>
        <c:auto val="1"/>
        <c:lblAlgn val="ctr"/>
        <c:lblOffset val="100"/>
        <c:noMultiLvlLbl val="0"/>
      </c:catAx>
      <c:valAx>
        <c:axId val="508392096"/>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0"/>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p>
        </c:txPr>
        <c:crossAx val="508391536"/>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14D6585-BD64-4646-881F-CE691C4092CD}">
  <ds:schemaRefs/>
</ds:datastoreItem>
</file>

<file path=docProps/app.xml><?xml version="1.0" encoding="utf-8"?>
<Properties xmlns="http://schemas.openxmlformats.org/officeDocument/2006/extended-properties" xmlns:vt="http://schemas.openxmlformats.org/officeDocument/2006/docPropsVTypes">
  <Template>Normal.dotm</Template>
  <Pages>33</Pages>
  <Words>10803</Words>
  <Characters>61583</Characters>
  <Lines>513</Lines>
  <Paragraphs>144</Paragraphs>
  <TotalTime>126</TotalTime>
  <ScaleCrop>false</ScaleCrop>
  <LinksUpToDate>false</LinksUpToDate>
  <CharactersWithSpaces>72242</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2023-04-07T12:08:00Z</dcterms:created>
  <dc:creator>ZTE</dc:creator>
  <cp:lastModifiedBy>ZTE, Mengzhu</cp:lastModifiedBy>
  <dcterms:modified xsi:type="dcterms:W3CDTF">2023-05-15T10:00:48Z</dcterms:modified>
  <dc:title>Discussion Summary #2 for energy saving techniques of NW energy saving SI.</dc:title>
  <cp:revision>101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